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BE886" w14:textId="77777777" w:rsidR="00736B55" w:rsidRPr="00B91A12" w:rsidRDefault="00736B55" w:rsidP="008C23A6">
      <w:pPr>
        <w:jc w:val="right"/>
        <w:rPr>
          <w:rFonts w:ascii="Times New Roman" w:hAnsi="Times New Roman" w:cs="Times New Roman"/>
          <w:b/>
          <w:lang w:val="en-US"/>
        </w:rPr>
      </w:pPr>
    </w:p>
    <w:p w14:paraId="50440D62" w14:textId="77777777" w:rsidR="00736B55" w:rsidRPr="00736B55" w:rsidRDefault="00A606D5" w:rsidP="00736B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CF44C18" wp14:editId="03180DF6">
            <wp:extent cx="933855" cy="856034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55" cy="85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244FD" w14:textId="77777777" w:rsidR="00736B55" w:rsidRPr="00736B55" w:rsidRDefault="00736B55" w:rsidP="00B91A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B55">
        <w:rPr>
          <w:rFonts w:ascii="Times New Roman" w:hAnsi="Times New Roman" w:cs="Times New Roman"/>
          <w:b/>
          <w:sz w:val="36"/>
          <w:szCs w:val="36"/>
        </w:rPr>
        <w:t>Автономная некоммерческая организация</w:t>
      </w:r>
    </w:p>
    <w:p w14:paraId="00DD7654" w14:textId="77777777" w:rsidR="00736B55" w:rsidRDefault="00736B55" w:rsidP="00B91A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B55">
        <w:rPr>
          <w:rFonts w:ascii="Times New Roman" w:hAnsi="Times New Roman" w:cs="Times New Roman"/>
          <w:b/>
          <w:sz w:val="36"/>
          <w:szCs w:val="36"/>
        </w:rPr>
        <w:t>«Альметьевский хоккейный клуб «Нефтяник»</w:t>
      </w:r>
    </w:p>
    <w:p w14:paraId="4B1134E1" w14:textId="77777777" w:rsidR="00736B55" w:rsidRPr="00736B55" w:rsidRDefault="00736B55" w:rsidP="00736B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2676B3" w14:textId="4F5190C7" w:rsidR="00736B55" w:rsidRPr="00736B55" w:rsidRDefault="00822CD0" w:rsidP="00736B5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6B55">
        <w:rPr>
          <w:rFonts w:ascii="Times New Roman" w:hAnsi="Times New Roman" w:cs="Times New Roman"/>
          <w:b/>
          <w:sz w:val="28"/>
          <w:szCs w:val="28"/>
        </w:rPr>
        <w:t>Рассмотрено</w:t>
      </w:r>
      <w:proofErr w:type="gramStart"/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  <w:t>У</w:t>
      </w:r>
      <w:proofErr w:type="gramEnd"/>
      <w:r w:rsidR="00736B55" w:rsidRPr="00736B55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14:paraId="54A4A9F6" w14:textId="77777777" w:rsidR="00736B55" w:rsidRDefault="00736B55" w:rsidP="00736B5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6B55">
        <w:rPr>
          <w:rFonts w:ascii="Times New Roman" w:hAnsi="Times New Roman" w:cs="Times New Roman"/>
          <w:b/>
          <w:sz w:val="28"/>
          <w:szCs w:val="28"/>
        </w:rPr>
        <w:t xml:space="preserve">На заседании тренерского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36B55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4C1922CD" w14:textId="35EF14F0" w:rsidR="00736B55" w:rsidRDefault="00736B55" w:rsidP="00736B5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48">
        <w:rPr>
          <w:rFonts w:ascii="Times New Roman" w:hAnsi="Times New Roman" w:cs="Times New Roman"/>
          <w:b/>
          <w:sz w:val="28"/>
          <w:szCs w:val="28"/>
        </w:rPr>
        <w:t>Совета</w:t>
      </w:r>
      <w:r w:rsidR="00C260B3" w:rsidRPr="00EF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948">
        <w:rPr>
          <w:rFonts w:ascii="Times New Roman" w:hAnsi="Times New Roman" w:cs="Times New Roman"/>
          <w:b/>
          <w:sz w:val="28"/>
          <w:szCs w:val="28"/>
        </w:rPr>
        <w:t xml:space="preserve">СШ </w:t>
      </w:r>
      <w:r w:rsidR="00E82BF1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«Нефтяник»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6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АНО </w:t>
      </w:r>
      <w:r w:rsidR="00822C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14:paraId="7B58E38B" w14:textId="7E6F51A7" w:rsidR="00736B55" w:rsidRDefault="00B91A12" w:rsidP="00736B5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22CD0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822CD0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22CD0">
        <w:rPr>
          <w:rFonts w:ascii="Times New Roman" w:hAnsi="Times New Roman" w:cs="Times New Roman"/>
          <w:b/>
          <w:sz w:val="28"/>
          <w:szCs w:val="28"/>
        </w:rPr>
        <w:t>___</w:t>
      </w:r>
      <w:r w:rsidR="00874C1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260B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260B3">
        <w:rPr>
          <w:rFonts w:ascii="Times New Roman" w:hAnsi="Times New Roman" w:cs="Times New Roman"/>
          <w:b/>
          <w:sz w:val="28"/>
          <w:szCs w:val="28"/>
        </w:rPr>
        <w:tab/>
      </w:r>
      <w:r w:rsidR="00C260B3">
        <w:rPr>
          <w:rFonts w:ascii="Times New Roman" w:hAnsi="Times New Roman" w:cs="Times New Roman"/>
          <w:b/>
          <w:sz w:val="28"/>
          <w:szCs w:val="28"/>
        </w:rPr>
        <w:tab/>
      </w:r>
      <w:r w:rsidR="00874C1C">
        <w:rPr>
          <w:rFonts w:ascii="Times New Roman" w:hAnsi="Times New Roman" w:cs="Times New Roman"/>
          <w:b/>
          <w:sz w:val="28"/>
          <w:szCs w:val="28"/>
        </w:rPr>
        <w:tab/>
      </w:r>
      <w:r w:rsidR="00C260B3">
        <w:rPr>
          <w:rFonts w:ascii="Times New Roman" w:hAnsi="Times New Roman" w:cs="Times New Roman"/>
          <w:b/>
          <w:sz w:val="28"/>
          <w:szCs w:val="28"/>
        </w:rPr>
        <w:t>__________</w:t>
      </w:r>
      <w:proofErr w:type="spellStart"/>
      <w:r w:rsidR="00C260B3">
        <w:rPr>
          <w:rFonts w:ascii="Times New Roman" w:hAnsi="Times New Roman" w:cs="Times New Roman"/>
          <w:b/>
          <w:sz w:val="28"/>
          <w:szCs w:val="28"/>
        </w:rPr>
        <w:t>Р.Р.Гатин</w:t>
      </w:r>
      <w:proofErr w:type="spellEnd"/>
    </w:p>
    <w:p w14:paraId="1C1E39DE" w14:textId="77777777" w:rsidR="00736B55" w:rsidRPr="00736B55" w:rsidRDefault="00874C1C" w:rsidP="00736B5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«___»____________ 2023</w:t>
      </w:r>
      <w:r w:rsidR="00736B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  <w:r w:rsidR="00736B55" w:rsidRPr="00736B55">
        <w:rPr>
          <w:rFonts w:ascii="Times New Roman" w:hAnsi="Times New Roman" w:cs="Times New Roman"/>
          <w:b/>
          <w:sz w:val="28"/>
          <w:szCs w:val="28"/>
        </w:rPr>
        <w:tab/>
      </w:r>
    </w:p>
    <w:p w14:paraId="4E9EC28E" w14:textId="77777777" w:rsidR="00736B55" w:rsidRPr="00EF1948" w:rsidRDefault="00736B55" w:rsidP="003E184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3B9A914F" w14:textId="77777777" w:rsidR="00736B55" w:rsidRPr="00822CD0" w:rsidRDefault="00A606D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14:paraId="33C567BB" w14:textId="39A5C277" w:rsidR="00A606D5" w:rsidRPr="00822CD0" w:rsidRDefault="00E82BF1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06D5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Спортивной школы </w:t>
      </w:r>
      <w:r w:rsidR="00822CD0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образования «Нефтяник»</w:t>
      </w:r>
    </w:p>
    <w:p w14:paraId="37293738" w14:textId="1A57BFCE" w:rsidR="00784018" w:rsidRPr="00822CD0" w:rsidRDefault="00822CD0" w:rsidP="00822C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606D5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индивидуального отбора, приема</w:t>
      </w: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606D5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338215B" w14:textId="423F697B" w:rsidR="00784018" w:rsidRPr="00822CD0" w:rsidRDefault="00A606D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промежуточной аттестации и перевода</w:t>
      </w:r>
      <w:r w:rsidR="00822CD0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</w:p>
    <w:p w14:paraId="5B647ADF" w14:textId="77777777" w:rsidR="00A606D5" w:rsidRPr="00822CD0" w:rsidRDefault="00A606D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отчисления из СШ</w:t>
      </w:r>
      <w:r w:rsidR="00A8030D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</w:t>
      </w: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«Нефтяник»</w:t>
      </w:r>
    </w:p>
    <w:p w14:paraId="38CA9C8C" w14:textId="77777777" w:rsidR="003E1842" w:rsidRPr="00EF1948" w:rsidRDefault="003E1842" w:rsidP="00A606D5">
      <w:pPr>
        <w:jc w:val="center"/>
        <w:rPr>
          <w:rFonts w:ascii="Times New Roman" w:hAnsi="Times New Roman" w:cs="Times New Roman"/>
          <w:b/>
          <w:color w:val="002060"/>
        </w:rPr>
      </w:pPr>
    </w:p>
    <w:p w14:paraId="4FE4710A" w14:textId="77777777" w:rsidR="00784018" w:rsidRPr="00EF1948" w:rsidRDefault="00784018" w:rsidP="00A606D5">
      <w:pPr>
        <w:jc w:val="center"/>
        <w:rPr>
          <w:rFonts w:ascii="Times New Roman" w:hAnsi="Times New Roman" w:cs="Times New Roman"/>
          <w:b/>
          <w:color w:val="002060"/>
        </w:rPr>
      </w:pPr>
    </w:p>
    <w:p w14:paraId="09D15FBB" w14:textId="77777777" w:rsidR="00784018" w:rsidRPr="00EF1948" w:rsidRDefault="00784018" w:rsidP="00A606D5">
      <w:pPr>
        <w:jc w:val="center"/>
        <w:rPr>
          <w:rFonts w:ascii="Times New Roman" w:hAnsi="Times New Roman" w:cs="Times New Roman"/>
          <w:b/>
          <w:color w:val="002060"/>
        </w:rPr>
      </w:pPr>
    </w:p>
    <w:p w14:paraId="40524D45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306B1CB8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183991B8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7397EF45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26C32972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2819CC2A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00BA2142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7F9A84B7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65E252F8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3695EE74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30E9A35F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0E2D3514" w14:textId="77777777" w:rsidR="00784018" w:rsidRPr="00736B55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7759F144" w14:textId="77777777" w:rsidR="00736B55" w:rsidRDefault="00874C1C" w:rsidP="003E1842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г.Альметьевск</w:t>
      </w:r>
      <w:proofErr w:type="spellEnd"/>
      <w:r>
        <w:rPr>
          <w:rFonts w:ascii="Times New Roman" w:hAnsi="Times New Roman" w:cs="Times New Roman"/>
          <w:b/>
        </w:rPr>
        <w:t>,   2023</w:t>
      </w:r>
      <w:r w:rsidR="00736B55" w:rsidRPr="00736B55">
        <w:rPr>
          <w:rFonts w:ascii="Times New Roman" w:hAnsi="Times New Roman" w:cs="Times New Roman"/>
          <w:b/>
        </w:rPr>
        <w:t xml:space="preserve"> год</w:t>
      </w:r>
    </w:p>
    <w:p w14:paraId="5089B5F6" w14:textId="77777777" w:rsidR="00874C1C" w:rsidRDefault="00874C1C" w:rsidP="00784018">
      <w:pPr>
        <w:rPr>
          <w:rFonts w:ascii="Times New Roman" w:hAnsi="Times New Roman" w:cs="Times New Roman"/>
          <w:b/>
        </w:rPr>
      </w:pPr>
    </w:p>
    <w:p w14:paraId="2E0427B7" w14:textId="77777777" w:rsidR="00961575" w:rsidRDefault="00961575" w:rsidP="003E184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9C55B28" w14:textId="77777777" w:rsidR="00961575" w:rsidRDefault="00961575" w:rsidP="003E184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E168CBC" w14:textId="707453F2" w:rsidR="00874C1C" w:rsidRPr="00B40E67" w:rsidRDefault="00874C1C" w:rsidP="003E184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40E67">
        <w:rPr>
          <w:rFonts w:ascii="Times New Roman" w:hAnsi="Times New Roman" w:cs="Times New Roman"/>
          <w:b/>
          <w:color w:val="002060"/>
          <w:sz w:val="24"/>
          <w:szCs w:val="24"/>
        </w:rPr>
        <w:t>СОДЕРЖАНИЕ</w:t>
      </w:r>
    </w:p>
    <w:tbl>
      <w:tblPr>
        <w:tblStyle w:val="a4"/>
        <w:tblW w:w="10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  <w:gridCol w:w="1559"/>
      </w:tblGrid>
      <w:tr w:rsidR="007E4365" w:rsidRPr="00B40E67" w14:paraId="01E3D433" w14:textId="77777777" w:rsidTr="003565F1">
        <w:tc>
          <w:tcPr>
            <w:tcW w:w="8505" w:type="dxa"/>
          </w:tcPr>
          <w:p w14:paraId="5221F77D" w14:textId="77777777" w:rsidR="007E4365" w:rsidRPr="00B40E67" w:rsidRDefault="007E4365" w:rsidP="0087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67">
              <w:rPr>
                <w:rFonts w:ascii="Times New Roman" w:hAnsi="Times New Roman" w:cs="Times New Roman"/>
                <w:b/>
                <w:sz w:val="24"/>
                <w:szCs w:val="24"/>
              </w:rPr>
              <w:t>Главы / Статьи</w:t>
            </w:r>
          </w:p>
        </w:tc>
        <w:tc>
          <w:tcPr>
            <w:tcW w:w="1559" w:type="dxa"/>
          </w:tcPr>
          <w:p w14:paraId="7C206587" w14:textId="77777777" w:rsidR="007E4365" w:rsidRPr="00087A6B" w:rsidRDefault="007E4365" w:rsidP="00874C1C">
            <w:pPr>
              <w:rPr>
                <w:rFonts w:ascii="Times New Roman" w:hAnsi="Times New Roman" w:cs="Times New Roman"/>
                <w:b/>
              </w:rPr>
            </w:pPr>
            <w:r w:rsidRPr="00087A6B">
              <w:rPr>
                <w:rFonts w:ascii="Times New Roman" w:hAnsi="Times New Roman" w:cs="Times New Roman"/>
                <w:b/>
              </w:rPr>
              <w:t>Нумерация страниц</w:t>
            </w:r>
          </w:p>
        </w:tc>
      </w:tr>
      <w:tr w:rsidR="007E4365" w:rsidRPr="00B40E67" w14:paraId="29329263" w14:textId="77777777" w:rsidTr="003565F1">
        <w:tc>
          <w:tcPr>
            <w:tcW w:w="8505" w:type="dxa"/>
          </w:tcPr>
          <w:p w14:paraId="1C504839" w14:textId="77777777" w:rsidR="007E4365" w:rsidRDefault="00784018" w:rsidP="0057502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18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  <w:p w14:paraId="4EEF862E" w14:textId="77777777" w:rsidR="00CF197E" w:rsidRPr="00784018" w:rsidRDefault="00CF197E" w:rsidP="00CF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B6A87" w14:textId="77777777" w:rsidR="007E4365" w:rsidRPr="00641176" w:rsidRDefault="00784018" w:rsidP="0087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С.3</w:t>
            </w:r>
          </w:p>
        </w:tc>
      </w:tr>
      <w:tr w:rsidR="00F12B10" w:rsidRPr="00B40E67" w14:paraId="6EE85B0C" w14:textId="77777777" w:rsidTr="003565F1">
        <w:tc>
          <w:tcPr>
            <w:tcW w:w="8505" w:type="dxa"/>
          </w:tcPr>
          <w:p w14:paraId="1426B589" w14:textId="77777777" w:rsidR="00F12B10" w:rsidRPr="00F12B10" w:rsidRDefault="00F12B10" w:rsidP="0057502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ОТБОРА/ПРОСМОТРА ЛИЦ, </w:t>
            </w:r>
          </w:p>
          <w:p w14:paraId="2C0F0CE2" w14:textId="77777777" w:rsidR="00F12B10" w:rsidRPr="00F12B10" w:rsidRDefault="00F12B10" w:rsidP="00F12B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ЖЕЛАЮЩИХ ПРОХОДИТЬ СПОРТИВНУЮ ПОДГОТОВКУ</w:t>
            </w:r>
          </w:p>
          <w:p w14:paraId="586DF1D9" w14:textId="77777777" w:rsidR="00F12B10" w:rsidRPr="00F12B10" w:rsidRDefault="00F12B10" w:rsidP="00F12B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СШ </w:t>
            </w:r>
            <w:r w:rsidR="00E8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«НЕФТЯНИК»</w:t>
            </w:r>
          </w:p>
          <w:p w14:paraId="0CE3F112" w14:textId="77777777" w:rsidR="00F12B10" w:rsidRPr="00762251" w:rsidRDefault="00F12B10" w:rsidP="00762251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Таблица № 1 «</w:t>
            </w:r>
            <w:r w:rsidRPr="00F12B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Перечень необходимых документов для допуска к контрольно-тренировочным занятиям»</w:t>
            </w:r>
          </w:p>
        </w:tc>
        <w:tc>
          <w:tcPr>
            <w:tcW w:w="1559" w:type="dxa"/>
          </w:tcPr>
          <w:p w14:paraId="1FA3EDD9" w14:textId="77777777" w:rsidR="00F12B10" w:rsidRPr="00087A6B" w:rsidRDefault="00762251" w:rsidP="0087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9A3F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С.6</w:t>
            </w:r>
          </w:p>
        </w:tc>
      </w:tr>
      <w:tr w:rsidR="00762251" w:rsidRPr="00B40E67" w14:paraId="3BC2D72A" w14:textId="77777777" w:rsidTr="003565F1">
        <w:tc>
          <w:tcPr>
            <w:tcW w:w="8505" w:type="dxa"/>
          </w:tcPr>
          <w:p w14:paraId="62F9C48F" w14:textId="77777777" w:rsidR="00762251" w:rsidRPr="00F12B10" w:rsidRDefault="00762251" w:rsidP="0057502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СОСТАВ, ПОРЯДОК ФОРМИРОВАНИЯ и КОМПЕТЕНЦИЯ ПРИЕМНОЙ КОМИССИИ</w:t>
            </w:r>
          </w:p>
          <w:p w14:paraId="22F67CB1" w14:textId="77777777" w:rsidR="00762251" w:rsidRPr="00762251" w:rsidRDefault="00762251" w:rsidP="00DC5A5F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A4480" w14:textId="77777777" w:rsidR="00762251" w:rsidRPr="00B40E67" w:rsidRDefault="00857D3B" w:rsidP="0087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С.7 </w:t>
            </w:r>
          </w:p>
        </w:tc>
      </w:tr>
      <w:tr w:rsidR="00857D3B" w:rsidRPr="00B40E67" w14:paraId="0C1D85CC" w14:textId="77777777" w:rsidTr="003565F1">
        <w:tc>
          <w:tcPr>
            <w:tcW w:w="8505" w:type="dxa"/>
          </w:tcPr>
          <w:p w14:paraId="3CC538FB" w14:textId="77777777" w:rsidR="00CF197E" w:rsidRDefault="00857D3B" w:rsidP="000824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ПРИЕМА ЛИЦ,  ЖЕЛАЮЩИХ ПРОХОДИТЬ</w:t>
            </w:r>
          </w:p>
          <w:p w14:paraId="7527BD09" w14:textId="77777777" w:rsidR="00857D3B" w:rsidRDefault="00857D3B" w:rsidP="00CF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СПОРТИВНУЮ ПОДГОТОВКУ В СШ </w:t>
            </w:r>
            <w:r w:rsidR="00E8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«НЕФТЯНИК»</w:t>
            </w:r>
          </w:p>
          <w:p w14:paraId="108C09E5" w14:textId="77777777" w:rsidR="00CF197E" w:rsidRPr="0008244B" w:rsidRDefault="00CF197E" w:rsidP="00CF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440F9" w14:textId="77777777" w:rsidR="00857D3B" w:rsidRPr="0057502E" w:rsidRDefault="00857D3B" w:rsidP="00DC5A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С.8</w:t>
            </w:r>
          </w:p>
        </w:tc>
      </w:tr>
      <w:tr w:rsidR="00857D3B" w:rsidRPr="00B40E67" w14:paraId="6A316B3D" w14:textId="77777777" w:rsidTr="003565F1">
        <w:tc>
          <w:tcPr>
            <w:tcW w:w="8505" w:type="dxa"/>
          </w:tcPr>
          <w:p w14:paraId="63A2A7D1" w14:textId="77777777" w:rsidR="00857D3B" w:rsidRDefault="001B6DF0" w:rsidP="001B6DF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F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ПРОМЕЖУТОЧНОЙ АТТЕСТАЦИИ И ПЕРЕВОДА ЛИЦ НА СЛЕДУЮЩИЙ ЭТАП СПОРТИВНОЙ ПОДГОТОВКИ</w:t>
            </w:r>
          </w:p>
          <w:p w14:paraId="720CEC6B" w14:textId="77777777" w:rsidR="00CF197E" w:rsidRPr="001B6DF0" w:rsidRDefault="00CF197E" w:rsidP="00CF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6A97F" w14:textId="77777777" w:rsidR="00857D3B" w:rsidRPr="00641176" w:rsidRDefault="001B6DF0" w:rsidP="008E5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С.9</w:t>
            </w:r>
          </w:p>
        </w:tc>
      </w:tr>
      <w:tr w:rsidR="009A3F73" w:rsidRPr="00B40E67" w14:paraId="7DC155AB" w14:textId="77777777" w:rsidTr="003565F1">
        <w:tc>
          <w:tcPr>
            <w:tcW w:w="8505" w:type="dxa"/>
          </w:tcPr>
          <w:p w14:paraId="04EBF7FA" w14:textId="77777777" w:rsidR="009A3F73" w:rsidRDefault="009A3F73" w:rsidP="009A3F7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7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ОТЧИСЛЕНИЯ ЛИЦ ИЗ СШ</w:t>
            </w:r>
            <w:r w:rsidR="00E8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CF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«НЕФТЯНИК»</w:t>
            </w:r>
          </w:p>
          <w:p w14:paraId="6B94EC1D" w14:textId="77777777" w:rsidR="00CF197E" w:rsidRPr="00CF197E" w:rsidRDefault="00CF197E" w:rsidP="00CF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2FA83" w14:textId="77777777" w:rsidR="009A3F73" w:rsidRPr="00B40E67" w:rsidRDefault="009A3F73" w:rsidP="0087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С.10</w:t>
            </w:r>
            <w:r w:rsidR="00CF197E">
              <w:rPr>
                <w:rFonts w:ascii="Times New Roman" w:hAnsi="Times New Roman" w:cs="Times New Roman"/>
                <w:b/>
                <w:sz w:val="24"/>
                <w:szCs w:val="24"/>
              </w:rPr>
              <w:t>- С.11</w:t>
            </w:r>
          </w:p>
        </w:tc>
      </w:tr>
      <w:tr w:rsidR="009A3F73" w:rsidRPr="00B40E67" w14:paraId="1F2B31F7" w14:textId="77777777" w:rsidTr="003565F1">
        <w:tc>
          <w:tcPr>
            <w:tcW w:w="8505" w:type="dxa"/>
          </w:tcPr>
          <w:p w14:paraId="7D007867" w14:textId="77777777" w:rsidR="009A3F73" w:rsidRDefault="00CF197E" w:rsidP="00CF197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7E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ПОЛОЖЕНИЯ</w:t>
            </w:r>
          </w:p>
          <w:p w14:paraId="16180E38" w14:textId="77777777" w:rsidR="00CF197E" w:rsidRPr="00CF197E" w:rsidRDefault="00CF197E" w:rsidP="00CF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E62521" w14:textId="77777777" w:rsidR="009A3F73" w:rsidRDefault="00CF197E" w:rsidP="0087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</w:t>
            </w:r>
          </w:p>
        </w:tc>
      </w:tr>
    </w:tbl>
    <w:p w14:paraId="57289570" w14:textId="77777777" w:rsidR="00874C1C" w:rsidRDefault="00874C1C" w:rsidP="00CF5CAF">
      <w:pPr>
        <w:rPr>
          <w:rFonts w:ascii="Times New Roman" w:hAnsi="Times New Roman" w:cs="Times New Roman"/>
          <w:b/>
        </w:rPr>
      </w:pPr>
    </w:p>
    <w:p w14:paraId="4AF9D92E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6E0D9E56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1B804746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233B0FFD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2BE1224C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76ED78BA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0F3D5D7A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4037C5FF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36B395B7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22834B4C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21EC76D5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07978327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5A8F245E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407302A4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173914EA" w14:textId="77777777" w:rsidR="00784018" w:rsidRDefault="00784018" w:rsidP="00CF5CAF">
      <w:pPr>
        <w:rPr>
          <w:rFonts w:ascii="Times New Roman" w:hAnsi="Times New Roman" w:cs="Times New Roman"/>
          <w:b/>
        </w:rPr>
      </w:pPr>
    </w:p>
    <w:p w14:paraId="03E4057E" w14:textId="77777777" w:rsidR="001B6DF0" w:rsidRDefault="001B6DF0" w:rsidP="00CF5CAF">
      <w:pPr>
        <w:rPr>
          <w:rFonts w:ascii="Times New Roman" w:hAnsi="Times New Roman" w:cs="Times New Roman"/>
          <w:b/>
        </w:rPr>
      </w:pPr>
    </w:p>
    <w:p w14:paraId="43A6369B" w14:textId="77777777" w:rsidR="0057502E" w:rsidRPr="00BC7FB9" w:rsidRDefault="0057502E" w:rsidP="00CF5CAF">
      <w:pPr>
        <w:rPr>
          <w:rFonts w:ascii="Times New Roman" w:hAnsi="Times New Roman" w:cs="Times New Roman"/>
          <w:b/>
        </w:rPr>
      </w:pPr>
    </w:p>
    <w:p w14:paraId="5A89BDE9" w14:textId="77777777" w:rsidR="00641176" w:rsidRPr="00784018" w:rsidRDefault="00CF5CAF" w:rsidP="00784018">
      <w:pPr>
        <w:jc w:val="right"/>
        <w:rPr>
          <w:rFonts w:ascii="Times New Roman" w:hAnsi="Times New Roman" w:cs="Times New Roman"/>
          <w:b/>
          <w:color w:val="002060"/>
        </w:rPr>
      </w:pPr>
      <w:r w:rsidRPr="00641176">
        <w:rPr>
          <w:noProof/>
          <w:color w:val="002060"/>
          <w:lang w:eastAsia="ru-RU"/>
        </w:rPr>
        <w:drawing>
          <wp:inline distT="0" distB="0" distL="0" distR="0" wp14:anchorId="4CDC56A8" wp14:editId="3BF53F07">
            <wp:extent cx="398834" cy="3696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176">
        <w:rPr>
          <w:rFonts w:ascii="Times New Roman" w:hAnsi="Times New Roman" w:cs="Times New Roman"/>
          <w:b/>
          <w:color w:val="002060"/>
        </w:rPr>
        <w:t>____________________________________________________________________________________2</w:t>
      </w:r>
    </w:p>
    <w:p w14:paraId="7147792B" w14:textId="77777777" w:rsidR="00904FCA" w:rsidRDefault="00904FCA" w:rsidP="008002B7">
      <w:pPr>
        <w:rPr>
          <w:rFonts w:ascii="Times New Roman" w:hAnsi="Times New Roman" w:cs="Times New Roman"/>
          <w:b/>
          <w:color w:val="002060"/>
        </w:rPr>
      </w:pPr>
    </w:p>
    <w:p w14:paraId="5E006B8B" w14:textId="77777777" w:rsidR="00B91A12" w:rsidRPr="00904FCA" w:rsidRDefault="00B91A12" w:rsidP="008002B7">
      <w:pPr>
        <w:rPr>
          <w:rFonts w:ascii="Times New Roman" w:hAnsi="Times New Roman" w:cs="Times New Roman"/>
          <w:b/>
          <w:color w:val="002060"/>
        </w:rPr>
      </w:pPr>
    </w:p>
    <w:p w14:paraId="512A9653" w14:textId="77777777" w:rsidR="005E3016" w:rsidRDefault="00784018" w:rsidP="0057502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ОБЩИЕ ПОЛОЖЕНИЯ</w:t>
      </w:r>
    </w:p>
    <w:p w14:paraId="69D5DE65" w14:textId="77777777" w:rsidR="005E3016" w:rsidRPr="005E3016" w:rsidRDefault="005E3016" w:rsidP="00784018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CC1A647" w14:textId="77777777" w:rsidR="00784018" w:rsidRPr="00B91A12" w:rsidRDefault="00784018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18">
        <w:rPr>
          <w:rFonts w:ascii="Times New Roman" w:hAnsi="Times New Roman" w:cs="Times New Roman"/>
          <w:sz w:val="24"/>
          <w:szCs w:val="24"/>
        </w:rPr>
        <w:t xml:space="preserve"> Порядок проведения индивидуального отбора, приема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 xml:space="preserve">«Нефтяник», промежуточной аттестации и перевода, отчисления из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>«Нефтяник» (далее – Порядок)</w:t>
      </w:r>
    </w:p>
    <w:p w14:paraId="3C14C69D" w14:textId="77777777" w:rsidR="00784018" w:rsidRPr="00B91A12" w:rsidRDefault="00784018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18">
        <w:rPr>
          <w:rFonts w:ascii="Times New Roman" w:hAnsi="Times New Roman" w:cs="Times New Roman"/>
          <w:sz w:val="24"/>
          <w:szCs w:val="24"/>
        </w:rPr>
        <w:t xml:space="preserve"> Настоящий Порядок, регламентирует правила и особенности индивидуального отбора, приема, промежуточной аттестации и перевода, отчисления из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 xml:space="preserve">«Нефтяник» лиц в рамках прохождения ими спортивной подготовки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>«Нефтяник»</w:t>
      </w:r>
    </w:p>
    <w:p w14:paraId="04144031" w14:textId="5252A9AA" w:rsidR="00784018" w:rsidRPr="00B91A12" w:rsidRDefault="00784018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18">
        <w:rPr>
          <w:rFonts w:ascii="Times New Roman" w:hAnsi="Times New Roman" w:cs="Times New Roman"/>
          <w:sz w:val="24"/>
          <w:szCs w:val="24"/>
        </w:rPr>
        <w:t>Настоящий Порядок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и вводится в дей</w:t>
      </w:r>
      <w:r w:rsidRPr="007840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4018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е приказом Исполнительного дире</w:t>
      </w:r>
      <w:r w:rsidRPr="0078401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4018">
        <w:rPr>
          <w:rFonts w:ascii="Times New Roman" w:hAnsi="Times New Roman" w:cs="Times New Roman"/>
          <w:sz w:val="24"/>
          <w:szCs w:val="24"/>
        </w:rPr>
        <w:t xml:space="preserve">ора АНО </w:t>
      </w:r>
      <w:r w:rsidR="00822CD0">
        <w:rPr>
          <w:rFonts w:ascii="Times New Roman" w:hAnsi="Times New Roman" w:cs="Times New Roman"/>
          <w:sz w:val="24"/>
          <w:szCs w:val="24"/>
        </w:rPr>
        <w:t>«</w:t>
      </w:r>
      <w:r w:rsidRPr="00784018">
        <w:rPr>
          <w:rFonts w:ascii="Times New Roman" w:hAnsi="Times New Roman" w:cs="Times New Roman"/>
          <w:sz w:val="24"/>
          <w:szCs w:val="24"/>
        </w:rPr>
        <w:t>АХК «Нефтяник»</w:t>
      </w:r>
      <w:r>
        <w:rPr>
          <w:rFonts w:ascii="Times New Roman" w:hAnsi="Times New Roman" w:cs="Times New Roman"/>
          <w:sz w:val="24"/>
          <w:szCs w:val="24"/>
        </w:rPr>
        <w:t>. Внес</w:t>
      </w:r>
      <w:r w:rsidRPr="00784018">
        <w:rPr>
          <w:rFonts w:ascii="Times New Roman" w:hAnsi="Times New Roman" w:cs="Times New Roman"/>
          <w:sz w:val="24"/>
          <w:szCs w:val="24"/>
        </w:rPr>
        <w:t xml:space="preserve">ение изменений в настоящий порядок может быть инициировано Директором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>«Нефтяник». Утверждение и введение в действие изменений в настоящий Порядок осуществляется так же, как и утверждение в действие самого Порядка.</w:t>
      </w:r>
    </w:p>
    <w:p w14:paraId="17EF5266" w14:textId="77777777" w:rsidR="00784018" w:rsidRPr="00B91A12" w:rsidRDefault="00784018" w:rsidP="0078401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18">
        <w:rPr>
          <w:rFonts w:ascii="Times New Roman" w:hAnsi="Times New Roman" w:cs="Times New Roman"/>
          <w:sz w:val="24"/>
          <w:szCs w:val="24"/>
        </w:rPr>
        <w:t xml:space="preserve">Ответственность за поддержание настоящего Порядка в актуальном состоянии возлагается на Директора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>«Нефтяник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338C82E" w14:textId="30030A50" w:rsidR="00784018" w:rsidRPr="00784018" w:rsidRDefault="00822CD0" w:rsidP="005750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018" w:rsidRPr="00784018">
        <w:rPr>
          <w:rFonts w:ascii="Times New Roman" w:hAnsi="Times New Roman" w:cs="Times New Roman"/>
          <w:sz w:val="24"/>
          <w:szCs w:val="24"/>
        </w:rPr>
        <w:t xml:space="preserve">Контроль исполнения требований настоящего Порядка возлагается на Директора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784018" w:rsidRPr="00784018">
        <w:rPr>
          <w:rFonts w:ascii="Times New Roman" w:hAnsi="Times New Roman" w:cs="Times New Roman"/>
          <w:sz w:val="24"/>
          <w:szCs w:val="24"/>
        </w:rPr>
        <w:t>«Нефтяник»</w:t>
      </w:r>
    </w:p>
    <w:p w14:paraId="597FEF40" w14:textId="77777777" w:rsidR="00784018" w:rsidRDefault="00784018" w:rsidP="00822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A40B8" w14:textId="77777777" w:rsidR="00A62AA6" w:rsidRDefault="00A62AA6" w:rsidP="0057502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ПРАВИЛА ОТБОРА/ПРОСМОТРА ЛИЦ, </w:t>
      </w:r>
    </w:p>
    <w:p w14:paraId="50619DD9" w14:textId="77777777" w:rsidR="00A62AA6" w:rsidRDefault="00A62AA6" w:rsidP="00A62AA6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ЖЕЛАЮЩИХ ПРОХОДИТЬ СПОРТИВНУЮ ПОДГОТОВКУ</w:t>
      </w:r>
    </w:p>
    <w:p w14:paraId="4BF160DA" w14:textId="77777777" w:rsidR="00A62AA6" w:rsidRDefault="00A62AA6" w:rsidP="00A62AA6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СШ </w:t>
      </w:r>
      <w:r w:rsidR="00E82B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«НЕФТЯНИК»</w:t>
      </w:r>
    </w:p>
    <w:p w14:paraId="061D6EEE" w14:textId="77777777" w:rsidR="00A62AA6" w:rsidRDefault="00A62AA6" w:rsidP="00A62AA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354ADF" w14:textId="77777777" w:rsidR="00A62AA6" w:rsidRPr="00B91A12" w:rsidRDefault="00A62AA6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AA6">
        <w:rPr>
          <w:rFonts w:ascii="Times New Roman" w:hAnsi="Times New Roman" w:cs="Times New Roman"/>
          <w:sz w:val="24"/>
          <w:szCs w:val="24"/>
        </w:rPr>
        <w:t>Отбор/просмотр лиц для прохождения спортивной подготовки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A62AA6">
        <w:rPr>
          <w:rFonts w:ascii="Times New Roman" w:hAnsi="Times New Roman" w:cs="Times New Roman"/>
          <w:sz w:val="24"/>
          <w:szCs w:val="24"/>
        </w:rPr>
        <w:t xml:space="preserve"> «Нефтяник» осуществляется при наличии свободных мест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62AA6">
        <w:rPr>
          <w:rFonts w:ascii="Times New Roman" w:hAnsi="Times New Roman" w:cs="Times New Roman"/>
          <w:sz w:val="24"/>
          <w:szCs w:val="24"/>
        </w:rPr>
        <w:t>«Нефтяник»</w:t>
      </w:r>
    </w:p>
    <w:p w14:paraId="41861F82" w14:textId="77777777" w:rsidR="00A62AA6" w:rsidRPr="00B91A12" w:rsidRDefault="00A62AA6" w:rsidP="009A3F7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AA6">
        <w:rPr>
          <w:rFonts w:ascii="Times New Roman" w:hAnsi="Times New Roman" w:cs="Times New Roman"/>
          <w:sz w:val="24"/>
          <w:szCs w:val="24"/>
        </w:rPr>
        <w:t xml:space="preserve"> Основными критериями отбора лиц для прохождения спортивной подготовки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62AA6">
        <w:rPr>
          <w:rFonts w:ascii="Times New Roman" w:hAnsi="Times New Roman" w:cs="Times New Roman"/>
          <w:sz w:val="24"/>
          <w:szCs w:val="24"/>
        </w:rPr>
        <w:t>«Нефтяник» являются: хорошая физическая форма, отсутствие медицинских противопоказаний для занятий хоккеем / фигурным катанием на коньках, хорошая координация, ловкость, мышление, способность к обучению, дисциплина и желание заниматься данными видами спорта</w:t>
      </w:r>
    </w:p>
    <w:p w14:paraId="5173978A" w14:textId="77777777" w:rsidR="00A62AA6" w:rsidRPr="00B91A12" w:rsidRDefault="00B91A12" w:rsidP="00B91A1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желающих быть зачисленными</w:t>
      </w:r>
      <w:r w:rsidR="00A62AA6" w:rsidRPr="00A62AA6">
        <w:rPr>
          <w:rFonts w:ascii="Times New Roman" w:hAnsi="Times New Roman" w:cs="Times New Roman"/>
          <w:sz w:val="24"/>
          <w:szCs w:val="24"/>
        </w:rPr>
        <w:t xml:space="preserve">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A62AA6" w:rsidRPr="00A62AA6">
        <w:rPr>
          <w:rFonts w:ascii="Times New Roman" w:hAnsi="Times New Roman" w:cs="Times New Roman"/>
          <w:sz w:val="24"/>
          <w:szCs w:val="24"/>
        </w:rPr>
        <w:t xml:space="preserve"> в возрасте 4 лет умение кататься на коньках приветствуется, но не является обязательным требованием. </w:t>
      </w:r>
    </w:p>
    <w:p w14:paraId="5A8976C0" w14:textId="77777777" w:rsidR="00A62AA6" w:rsidRPr="00B91A12" w:rsidRDefault="00A62AA6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AA6">
        <w:rPr>
          <w:rFonts w:ascii="Times New Roman" w:hAnsi="Times New Roman" w:cs="Times New Roman"/>
          <w:sz w:val="24"/>
          <w:szCs w:val="24"/>
        </w:rPr>
        <w:t xml:space="preserve">Отбор / просмотр лиц, желающих проходить спортивную подготовку в СШ </w:t>
      </w:r>
      <w:r w:rsidR="00B91A12">
        <w:rPr>
          <w:rFonts w:ascii="Times New Roman" w:hAnsi="Times New Roman" w:cs="Times New Roman"/>
          <w:sz w:val="24"/>
          <w:szCs w:val="24"/>
        </w:rPr>
        <w:t xml:space="preserve">ДО </w:t>
      </w:r>
      <w:r w:rsidRPr="00A62AA6">
        <w:rPr>
          <w:rFonts w:ascii="Times New Roman" w:hAnsi="Times New Roman" w:cs="Times New Roman"/>
          <w:sz w:val="24"/>
          <w:szCs w:val="24"/>
        </w:rPr>
        <w:t xml:space="preserve">«Нефтяник», осуществляется на контрольно-тренировочных занятиях, проводимых в зале ОФП и на ледовой площадке,  за исключением первичного отбора/ просмотра </w:t>
      </w:r>
      <w:r>
        <w:rPr>
          <w:rFonts w:ascii="Times New Roman" w:hAnsi="Times New Roman" w:cs="Times New Roman"/>
          <w:sz w:val="24"/>
          <w:szCs w:val="24"/>
        </w:rPr>
        <w:t>на спортивно</w:t>
      </w:r>
      <w:r w:rsidR="005A38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оздоровительный э</w:t>
      </w:r>
      <w:r w:rsidRPr="00A62AA6">
        <w:rPr>
          <w:rFonts w:ascii="Times New Roman" w:hAnsi="Times New Roman" w:cs="Times New Roman"/>
          <w:sz w:val="24"/>
          <w:szCs w:val="24"/>
        </w:rPr>
        <w:t>тап спортивной подготовки, который осуществляется в зале.</w:t>
      </w:r>
    </w:p>
    <w:p w14:paraId="669D99FC" w14:textId="23DFCFFE" w:rsidR="00A62AA6" w:rsidRPr="00B91A12" w:rsidRDefault="00A62AA6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Отбор / просмотр лиц в возрасте 4-7 лет, желающих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на спортивно-оздоровительном этапе, производиться на основании предварительной записи в соответствии с контактными данными, указанными на официальном сайте АНО АХК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47294A83" w14:textId="28DBBC64" w:rsidR="005A389E" w:rsidRPr="00B91A12" w:rsidRDefault="005A389E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89E">
        <w:rPr>
          <w:rFonts w:ascii="Times New Roman" w:hAnsi="Times New Roman" w:cs="Times New Roman"/>
          <w:sz w:val="24"/>
          <w:szCs w:val="24"/>
        </w:rPr>
        <w:t>Отбор / просмотр лиц в возрасте 4-7 лет, желающих проходить спортивную подготовку в СШ «Нефтяник» на спортивно-оздоровительном этапе,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приемной комиссией по результатам контрольных испытаний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61C67FF" w14:textId="10D704CC" w:rsidR="00B91A12" w:rsidRDefault="005A389E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/ просмотр лиц в возрасте 8 лет и старше, желающих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(начиная с этапа начальной подготовки и далее), производится по предварите</w:t>
      </w:r>
      <w:r w:rsidR="00B91A12">
        <w:rPr>
          <w:rFonts w:ascii="Times New Roman" w:hAnsi="Times New Roman" w:cs="Times New Roman"/>
          <w:sz w:val="24"/>
          <w:szCs w:val="24"/>
        </w:rPr>
        <w:t>льному согласованию с Тренерско-преподавательским</w:t>
      </w:r>
      <w:r>
        <w:rPr>
          <w:rFonts w:ascii="Times New Roman" w:hAnsi="Times New Roman" w:cs="Times New Roman"/>
          <w:sz w:val="24"/>
          <w:szCs w:val="24"/>
        </w:rPr>
        <w:t xml:space="preserve"> советом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и Директором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на основании резюме, направленного в порядке, указанном на официальном сайте АНО </w:t>
      </w:r>
      <w:r w:rsidR="00822C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АХК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ACE6466" w14:textId="77777777" w:rsidR="00B91A12" w:rsidRDefault="00B91A12" w:rsidP="00B91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EE70D3" w14:textId="77777777" w:rsidR="00B91A12" w:rsidRPr="00B91A12" w:rsidRDefault="00B91A12" w:rsidP="00B91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6B2B56" w14:textId="77777777" w:rsidR="00B91A12" w:rsidRPr="00784018" w:rsidRDefault="00B91A12" w:rsidP="00B91A12">
      <w:pPr>
        <w:jc w:val="right"/>
        <w:rPr>
          <w:rFonts w:ascii="Times New Roman" w:hAnsi="Times New Roman" w:cs="Times New Roman"/>
          <w:b/>
          <w:color w:val="002060"/>
        </w:rPr>
      </w:pPr>
      <w:r w:rsidRPr="00641176">
        <w:rPr>
          <w:noProof/>
          <w:color w:val="002060"/>
          <w:lang w:eastAsia="ru-RU"/>
        </w:rPr>
        <w:drawing>
          <wp:inline distT="0" distB="0" distL="0" distR="0" wp14:anchorId="4A7FD1C6" wp14:editId="249F77CA">
            <wp:extent cx="398834" cy="369651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176">
        <w:rPr>
          <w:rFonts w:ascii="Times New Roman" w:hAnsi="Times New Roman" w:cs="Times New Roman"/>
          <w:b/>
          <w:color w:val="002060"/>
        </w:rPr>
        <w:t>_____________________________________________________</w:t>
      </w:r>
      <w:r>
        <w:rPr>
          <w:rFonts w:ascii="Times New Roman" w:hAnsi="Times New Roman" w:cs="Times New Roman"/>
          <w:b/>
          <w:color w:val="002060"/>
        </w:rPr>
        <w:t>_______________________________3</w:t>
      </w:r>
    </w:p>
    <w:p w14:paraId="726A7687" w14:textId="77777777" w:rsidR="00B91A12" w:rsidRDefault="00B91A12" w:rsidP="005A38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5215A5" w14:textId="77777777" w:rsidR="00B91A12" w:rsidRPr="005A389E" w:rsidRDefault="00B91A12" w:rsidP="005A38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155DD7" w14:textId="77777777" w:rsidR="004B4047" w:rsidRPr="00B91A12" w:rsidRDefault="005A389E" w:rsidP="00B91A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лица, желающего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«Нефтяник», должно содержать следующую информацию: ФИО, рост, вес, амплуа, хват, спортивный разряд, наименование команды и города, где осуществлялась спортивная подготовка ранее, ФИО тренеров, у которых осуществлялась спортивная подготовка, личная статистика, звено, контактная информация лица и его родителей (законных представителей) </w:t>
      </w:r>
    </w:p>
    <w:p w14:paraId="6074D662" w14:textId="77777777" w:rsidR="00822CD0" w:rsidRDefault="004B4047" w:rsidP="00822CD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/ просмотр лица в возрасте 8 лет и старше, желающих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F12B10" w:rsidRPr="00F12B10">
        <w:rPr>
          <w:rFonts w:ascii="Times New Roman" w:hAnsi="Times New Roman" w:cs="Times New Roman"/>
          <w:sz w:val="24"/>
          <w:szCs w:val="24"/>
        </w:rPr>
        <w:t xml:space="preserve"> (</w:t>
      </w:r>
      <w:r w:rsidR="00F12B10">
        <w:rPr>
          <w:rFonts w:ascii="Times New Roman" w:hAnsi="Times New Roman" w:cs="Times New Roman"/>
          <w:sz w:val="24"/>
          <w:szCs w:val="24"/>
        </w:rPr>
        <w:t>начиная с этапа начальной подготовки и далее), осуществляется тренером</w:t>
      </w:r>
      <w:r w:rsidR="00B91A12">
        <w:rPr>
          <w:rFonts w:ascii="Times New Roman" w:hAnsi="Times New Roman" w:cs="Times New Roman"/>
          <w:sz w:val="24"/>
          <w:szCs w:val="24"/>
        </w:rPr>
        <w:t>-преподавателем</w:t>
      </w:r>
      <w:r w:rsidR="00F12B10">
        <w:rPr>
          <w:rFonts w:ascii="Times New Roman" w:hAnsi="Times New Roman" w:cs="Times New Roman"/>
          <w:sz w:val="24"/>
          <w:szCs w:val="24"/>
        </w:rPr>
        <w:t xml:space="preserve"> соответствующей команды и, в особых случаях, при участии приемной комиссии, по результатам контрольных испытаний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6B6831DB" w14:textId="74CFBC39" w:rsidR="00F12B10" w:rsidRPr="00822CD0" w:rsidRDefault="00F12B10" w:rsidP="00822CD0">
      <w:pPr>
        <w:pStyle w:val="a3"/>
        <w:numPr>
          <w:ilvl w:val="1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22CD0">
        <w:rPr>
          <w:rFonts w:ascii="Times New Roman" w:hAnsi="Times New Roman" w:cs="Times New Roman"/>
          <w:sz w:val="24"/>
          <w:szCs w:val="24"/>
        </w:rPr>
        <w:t xml:space="preserve">Допуск к контрольно-тренировочным занятиям в рамках отбора/просмотра возможен при предоставлении в СШ </w:t>
      </w:r>
      <w:r w:rsidR="00E82BF1" w:rsidRPr="00822CD0">
        <w:rPr>
          <w:rFonts w:ascii="Times New Roman" w:hAnsi="Times New Roman" w:cs="Times New Roman"/>
          <w:sz w:val="24"/>
          <w:szCs w:val="24"/>
        </w:rPr>
        <w:t xml:space="preserve">ДО </w:t>
      </w:r>
      <w:r w:rsidRPr="00822CD0">
        <w:rPr>
          <w:rFonts w:ascii="Times New Roman" w:hAnsi="Times New Roman" w:cs="Times New Roman"/>
          <w:sz w:val="24"/>
          <w:szCs w:val="24"/>
        </w:rPr>
        <w:t>«Нефтяник» следующих документов:</w:t>
      </w:r>
    </w:p>
    <w:p w14:paraId="174D9C84" w14:textId="77777777" w:rsidR="00784018" w:rsidRPr="00F12B10" w:rsidRDefault="00F12B10" w:rsidP="00CF5CAF">
      <w:pPr>
        <w:spacing w:after="0"/>
        <w:ind w:left="708"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12B10">
        <w:rPr>
          <w:rFonts w:ascii="Times New Roman" w:hAnsi="Times New Roman" w:cs="Times New Roman"/>
          <w:b/>
          <w:color w:val="002060"/>
          <w:sz w:val="24"/>
          <w:szCs w:val="24"/>
        </w:rPr>
        <w:t>Таб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лица № 1 «Перечень необходимых документов для допуска к контрольно-тренировочным занятиям»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379"/>
        <w:gridCol w:w="1985"/>
      </w:tblGrid>
      <w:tr w:rsidR="00F12B10" w:rsidRPr="00F12B10" w14:paraId="1FE67408" w14:textId="77777777" w:rsidTr="00F12B10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7A3478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обучения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</w:tcPr>
          <w:p w14:paraId="463BA221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7B137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B10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предоставления документов</w:t>
            </w:r>
          </w:p>
        </w:tc>
      </w:tr>
      <w:tr w:rsidR="00F12B10" w:rsidRPr="00F12B10" w14:paraId="0712C920" w14:textId="77777777" w:rsidTr="00F12B10">
        <w:trPr>
          <w:trHeight w:val="81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FE23DB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  <w:b/>
              </w:rPr>
              <w:t>Поступление в группу набора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</w:tcPr>
          <w:p w14:paraId="3EB2774E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Заявление</w:t>
            </w:r>
          </w:p>
          <w:p w14:paraId="5F97B0A5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Заявление родителей о согласии на обработку и передачу  персональных данных ребенка</w:t>
            </w:r>
          </w:p>
          <w:p w14:paraId="59608474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 xml:space="preserve">Копия свидетельства о рождении поступающего </w:t>
            </w:r>
          </w:p>
          <w:p w14:paraId="66C6402A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Анкета</w:t>
            </w:r>
          </w:p>
          <w:p w14:paraId="5E9865EB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Справка от педиатра</w:t>
            </w:r>
          </w:p>
          <w:p w14:paraId="178AE056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УЗИ сердца</w:t>
            </w:r>
          </w:p>
          <w:p w14:paraId="45CCEF4D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Кардиограмма</w:t>
            </w:r>
          </w:p>
          <w:p w14:paraId="62052F51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Договор на оказание спортивно-оздоровительных услуг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5282A" w14:textId="0376918D" w:rsidR="00F12B10" w:rsidRPr="00F12B10" w:rsidRDefault="00F12B10" w:rsidP="00822CD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поступлении в СШ</w:t>
            </w:r>
            <w:r w:rsidR="00E8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="0082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«Нефтяник»</w:t>
            </w:r>
          </w:p>
        </w:tc>
      </w:tr>
      <w:tr w:rsidR="00F12B10" w:rsidRPr="00F12B10" w14:paraId="241FA364" w14:textId="77777777" w:rsidTr="00F12B10">
        <w:trPr>
          <w:trHeight w:val="333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6BA7975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  <w:b/>
              </w:rPr>
              <w:t>В СОГ (переход на следующий этап обучения)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6AD27D7B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Справка от педиатра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824BAD1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F12B10" w:rsidRPr="00F12B10" w14:paraId="40F2D5B3" w14:textId="77777777" w:rsidTr="00F12B10">
        <w:trPr>
          <w:trHeight w:val="602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CCC0765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14:paraId="6A44A640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i/>
              </w:rPr>
            </w:pPr>
            <w:r w:rsidRPr="00F12B10">
              <w:rPr>
                <w:rFonts w:ascii="Times New Roman" w:hAnsi="Times New Roman" w:cs="Times New Roman"/>
                <w:i/>
              </w:rPr>
              <w:t>*Для вновь зачисляемых пакет документов см. в графе «Поступление в группу набора»</w:t>
            </w:r>
          </w:p>
        </w:tc>
        <w:tc>
          <w:tcPr>
            <w:tcW w:w="198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6AAC921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B10" w:rsidRPr="00F12B10" w14:paraId="4D02CE17" w14:textId="77777777" w:rsidTr="00F12B10">
        <w:trPr>
          <w:trHeight w:val="431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EFCFE48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  <w:b/>
              </w:rPr>
              <w:t>В группы начальной подготовки</w:t>
            </w:r>
          </w:p>
          <w:p w14:paraId="0AB3EA39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14:paraId="332D4CEC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14:paraId="6BECC6C2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14:paraId="7591F630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14:paraId="7B9E770F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14:paraId="094A82BF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0A869C73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  <w:b/>
              </w:rPr>
              <w:t>НП – 1:</w:t>
            </w:r>
            <w:r w:rsidRPr="00F12B10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692CB10E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Медицинская справка 086у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29158A6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F12B10" w:rsidRPr="00F12B10" w14:paraId="77605D24" w14:textId="77777777" w:rsidTr="00F12B10">
        <w:trPr>
          <w:trHeight w:val="528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14:paraId="7FA936DF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9AB0625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  <w:b/>
              </w:rPr>
              <w:t>НП – 2:</w:t>
            </w:r>
            <w:r w:rsidRPr="00F12B10">
              <w:rPr>
                <w:rFonts w:ascii="Times New Roman" w:hAnsi="Times New Roman" w:cs="Times New Roman"/>
              </w:rPr>
              <w:t xml:space="preserve"> </w:t>
            </w:r>
          </w:p>
          <w:p w14:paraId="51177A1B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Справка от педиатра</w:t>
            </w: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0CB42E49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B10" w:rsidRPr="00F12B10" w14:paraId="777A192C" w14:textId="77777777" w:rsidTr="00F12B10">
        <w:trPr>
          <w:trHeight w:val="1001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14:paraId="46E217E0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ABAD87F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  <w:b/>
              </w:rPr>
              <w:t>НП – 3:</w:t>
            </w:r>
            <w:r w:rsidRPr="00F12B10">
              <w:rPr>
                <w:rFonts w:ascii="Times New Roman" w:hAnsi="Times New Roman" w:cs="Times New Roman"/>
              </w:rPr>
              <w:t xml:space="preserve"> </w:t>
            </w:r>
          </w:p>
          <w:p w14:paraId="1D105E19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УМО</w:t>
            </w:r>
          </w:p>
          <w:p w14:paraId="17F6B662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Контракт юниора (при достижении спортсменом 10-летнего возраста)</w:t>
            </w:r>
          </w:p>
          <w:p w14:paraId="6EBF8426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Фотографии 2 штуки 3х4</w:t>
            </w:r>
          </w:p>
          <w:p w14:paraId="443D88A3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</w:rPr>
              <w:t>Документы, согласно Положения о проведении Кубка Федерации ПФО (ежегодное обновление Положения перед стартом сезона)</w:t>
            </w: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07AF9F2C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B10" w:rsidRPr="00F12B10" w14:paraId="02AA4EB2" w14:textId="77777777" w:rsidTr="00F12B10">
        <w:trPr>
          <w:trHeight w:val="672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224A40C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14:paraId="72B62BF6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i/>
              </w:rPr>
            </w:pPr>
            <w:r w:rsidRPr="00F12B10">
              <w:rPr>
                <w:rFonts w:ascii="Times New Roman" w:hAnsi="Times New Roman" w:cs="Times New Roman"/>
                <w:i/>
              </w:rPr>
              <w:t>*Для вновь зачисляемых ПЛЮС пакет документов см. в графе «Поступление в группу набора»</w:t>
            </w:r>
          </w:p>
        </w:tc>
        <w:tc>
          <w:tcPr>
            <w:tcW w:w="198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1C160C5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B10" w:rsidRPr="00F12B10" w14:paraId="3ADB6B67" w14:textId="77777777" w:rsidTr="00F12B10">
        <w:trPr>
          <w:trHeight w:val="744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A99B012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  <w:b/>
              </w:rPr>
              <w:t xml:space="preserve">В учебно-тренировочные группы, </w:t>
            </w:r>
          </w:p>
          <w:p w14:paraId="55047F3A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  <w:b/>
              </w:rPr>
              <w:t>в группы спортивного совершенствования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</w:tcPr>
          <w:p w14:paraId="2891B900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УМО</w:t>
            </w:r>
          </w:p>
          <w:p w14:paraId="7973022C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Контракт юниора (при достижении спортсменом 10-летнего возраста)</w:t>
            </w:r>
          </w:p>
          <w:p w14:paraId="4C2755A2" w14:textId="77777777" w:rsidR="00F12B10" w:rsidRPr="00F12B10" w:rsidRDefault="00F12B10" w:rsidP="0057502E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Документы, согласно перечня Регламента проведения соревнований на Первенство ПФО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C0D073D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F12B10" w:rsidRPr="00F12B10" w14:paraId="6781D8F1" w14:textId="77777777" w:rsidTr="00F12B10">
        <w:trPr>
          <w:trHeight w:val="584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EB429C2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</w:tcPr>
          <w:p w14:paraId="30B2BB10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i/>
              </w:rPr>
            </w:pPr>
            <w:r w:rsidRPr="00F12B10">
              <w:rPr>
                <w:rFonts w:ascii="Times New Roman" w:hAnsi="Times New Roman" w:cs="Times New Roman"/>
                <w:i/>
              </w:rPr>
              <w:t>*Для вновь зачисляемых ПЛЮС  пакет документов см. в графе «Поступление в группу набора»</w:t>
            </w:r>
          </w:p>
        </w:tc>
        <w:tc>
          <w:tcPr>
            <w:tcW w:w="198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3BF2882" w14:textId="77777777" w:rsidR="00F12B10" w:rsidRPr="00F12B10" w:rsidRDefault="00F12B10" w:rsidP="00F12B10">
            <w:pPr>
              <w:spacing w:line="259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B10" w:rsidRPr="00F12B10" w14:paraId="33C88CF4" w14:textId="77777777" w:rsidTr="00F12B10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6C8DF5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B10">
              <w:rPr>
                <w:rFonts w:ascii="Times New Roman" w:hAnsi="Times New Roman" w:cs="Times New Roman"/>
                <w:b/>
              </w:rPr>
              <w:t>Отделение платных услуг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</w:tcPr>
          <w:p w14:paraId="0E8EEC3D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Заявление</w:t>
            </w:r>
          </w:p>
          <w:p w14:paraId="1C0999EF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 xml:space="preserve">Заявление родителей о согласии на обработку и передачу  </w:t>
            </w:r>
            <w:r w:rsidRPr="00F12B10">
              <w:rPr>
                <w:rFonts w:ascii="Times New Roman" w:hAnsi="Times New Roman" w:cs="Times New Roman"/>
              </w:rPr>
              <w:lastRenderedPageBreak/>
              <w:t>персональных данных ребенка</w:t>
            </w:r>
          </w:p>
          <w:p w14:paraId="37631B06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 xml:space="preserve">Копия свидетельства о рождении (паспорта) поступающего </w:t>
            </w:r>
          </w:p>
          <w:p w14:paraId="70108DAB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Анкета</w:t>
            </w:r>
          </w:p>
          <w:p w14:paraId="4617C6D1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Справка от педиатра</w:t>
            </w:r>
          </w:p>
          <w:p w14:paraId="193316C5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УЗИ сердца</w:t>
            </w:r>
          </w:p>
          <w:p w14:paraId="57FD4B0C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Кардиограмма</w:t>
            </w:r>
          </w:p>
          <w:p w14:paraId="2B34F024" w14:textId="77777777" w:rsidR="00F12B10" w:rsidRPr="00F12B10" w:rsidRDefault="00F12B10" w:rsidP="0057502E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12B10">
              <w:rPr>
                <w:rFonts w:ascii="Times New Roman" w:hAnsi="Times New Roman" w:cs="Times New Roman"/>
              </w:rPr>
              <w:t>Договор на оказание спортивно-оздоровительных услуг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D5452" w14:textId="77777777" w:rsidR="00F12B10" w:rsidRPr="00F12B10" w:rsidRDefault="00F12B10" w:rsidP="00F12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поступлении</w:t>
            </w:r>
          </w:p>
        </w:tc>
      </w:tr>
    </w:tbl>
    <w:p w14:paraId="2FD44B34" w14:textId="77777777" w:rsidR="00784018" w:rsidRDefault="00784018" w:rsidP="000A7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5C634" w14:textId="43518D9C" w:rsidR="00F12B10" w:rsidRDefault="00F12B10" w:rsidP="005750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желающие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«Нефтяник», прибывшие на контрольно-тренировочные занятия в рамках отбора/просмотра должны иметь при себе спортивную форму для занятий в зале и на ледовой площадке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BA1C18F" w14:textId="77777777" w:rsidR="00F12B10" w:rsidRDefault="00762251" w:rsidP="005750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отбора/ просмотра лица, желающего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«Нефтяник», принимается решение о его приеме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«Нефтяник». В приеме может быть отказано в следующих случаях:</w:t>
      </w:r>
    </w:p>
    <w:p w14:paraId="478B70C7" w14:textId="77777777" w:rsidR="00762251" w:rsidRDefault="00762251" w:rsidP="005750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уровня подготовленности лица, желающего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уровню соответствующей группы подготовки;</w:t>
      </w:r>
    </w:p>
    <w:p w14:paraId="4B72565D" w14:textId="2AB27071" w:rsidR="00762251" w:rsidRPr="00F12B10" w:rsidRDefault="00762251" w:rsidP="005750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прохождения спортивной подготовки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7C67FFFA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423FD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578A7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A26D0C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3E18B0" w14:textId="77777777" w:rsidR="00784018" w:rsidRDefault="00784018" w:rsidP="007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5DBAC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94E1E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6BFAC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3FD1C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1C390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F81B1E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53A63" w14:textId="77777777" w:rsidR="00784018" w:rsidRDefault="00784018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DB31F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D66DA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7FBB0D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378CF6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7656C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AD8F2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11874C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017BF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BC984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E84BD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71632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B61F5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9B173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93A29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F8DEE9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C43F8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86B32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5186F" w14:textId="77777777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727CC" w14:textId="77777777" w:rsidR="00762251" w:rsidRDefault="00762251" w:rsidP="00EF1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EB645" w14:textId="77777777" w:rsidR="00517AD8" w:rsidRDefault="00517AD8" w:rsidP="00EF1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343F8" w14:textId="77777777" w:rsidR="00762251" w:rsidRDefault="00762251" w:rsidP="000A7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33ED5" w14:textId="77777777" w:rsidR="00EF1948" w:rsidRPr="00784018" w:rsidRDefault="00762251" w:rsidP="000A7996">
      <w:pPr>
        <w:jc w:val="right"/>
        <w:rPr>
          <w:rFonts w:ascii="Times New Roman" w:hAnsi="Times New Roman" w:cs="Times New Roman"/>
          <w:b/>
          <w:color w:val="002060"/>
        </w:rPr>
      </w:pPr>
      <w:r w:rsidRPr="00641176">
        <w:rPr>
          <w:noProof/>
          <w:color w:val="002060"/>
          <w:lang w:eastAsia="ru-RU"/>
        </w:rPr>
        <w:drawing>
          <wp:inline distT="0" distB="0" distL="0" distR="0" wp14:anchorId="14C35894" wp14:editId="2529D13A">
            <wp:extent cx="398834" cy="369651"/>
            <wp:effectExtent l="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176">
        <w:rPr>
          <w:rFonts w:ascii="Times New Roman" w:hAnsi="Times New Roman" w:cs="Times New Roman"/>
          <w:b/>
          <w:color w:val="002060"/>
        </w:rPr>
        <w:t>_____________________________________________________</w:t>
      </w:r>
      <w:r w:rsidR="000A7996">
        <w:rPr>
          <w:rFonts w:ascii="Times New Roman" w:hAnsi="Times New Roman" w:cs="Times New Roman"/>
          <w:b/>
          <w:color w:val="002060"/>
        </w:rPr>
        <w:t>_______________________________5</w:t>
      </w:r>
    </w:p>
    <w:p w14:paraId="2C1E64FF" w14:textId="697C12CF" w:rsidR="00762251" w:rsidRDefault="00762251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A6D28" w14:textId="77777777" w:rsidR="00961575" w:rsidRPr="00762251" w:rsidRDefault="00961575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15489B" w14:textId="77777777" w:rsidR="00762251" w:rsidRPr="00762251" w:rsidRDefault="00762251" w:rsidP="0057502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22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СОСТАВ, ПОРЯДОК ФОРМИРОВАНИЯ и </w:t>
      </w:r>
    </w:p>
    <w:p w14:paraId="3C8F1E1A" w14:textId="77777777" w:rsidR="00762251" w:rsidRDefault="00762251" w:rsidP="00762251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2251">
        <w:rPr>
          <w:rFonts w:ascii="Times New Roman" w:hAnsi="Times New Roman" w:cs="Times New Roman"/>
          <w:b/>
          <w:color w:val="002060"/>
          <w:sz w:val="24"/>
          <w:szCs w:val="24"/>
        </w:rPr>
        <w:t>КОМПЕТЕНЦИЯ ПРИЕМНОЙ КОМИССИИ</w:t>
      </w:r>
    </w:p>
    <w:p w14:paraId="5982A356" w14:textId="77777777" w:rsidR="00762251" w:rsidRPr="00762251" w:rsidRDefault="00762251" w:rsidP="00762251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3C0F68F" w14:textId="76BA8824" w:rsidR="00762251" w:rsidRPr="000A7996" w:rsidRDefault="00762251" w:rsidP="000A79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организации о</w:t>
      </w:r>
      <w:r w:rsidRPr="00762251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251">
        <w:rPr>
          <w:rFonts w:ascii="Times New Roman" w:hAnsi="Times New Roman" w:cs="Times New Roman"/>
          <w:sz w:val="24"/>
          <w:szCs w:val="24"/>
        </w:rPr>
        <w:t xml:space="preserve"> / просмотр</w:t>
      </w:r>
      <w:r>
        <w:rPr>
          <w:rFonts w:ascii="Times New Roman" w:hAnsi="Times New Roman" w:cs="Times New Roman"/>
          <w:sz w:val="24"/>
          <w:szCs w:val="24"/>
        </w:rPr>
        <w:t>а лиц</w:t>
      </w:r>
      <w:r w:rsidRPr="00762251">
        <w:rPr>
          <w:rFonts w:ascii="Times New Roman" w:hAnsi="Times New Roman" w:cs="Times New Roman"/>
          <w:sz w:val="24"/>
          <w:szCs w:val="24"/>
        </w:rPr>
        <w:t>, желающих проходить спорти</w:t>
      </w:r>
      <w:r>
        <w:rPr>
          <w:rFonts w:ascii="Times New Roman" w:hAnsi="Times New Roman" w:cs="Times New Roman"/>
          <w:sz w:val="24"/>
          <w:szCs w:val="24"/>
        </w:rPr>
        <w:t xml:space="preserve">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создается комиссии (далее – Комиссия)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CBF7709" w14:textId="6D05B693" w:rsidR="00762251" w:rsidRPr="000A7996" w:rsidRDefault="00762251" w:rsidP="005C638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формируется в количестве не менее трех человек в составе председателя, заместителя председателя, секретаря и членов Комиссии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784658C0" w14:textId="0F3A1C04" w:rsidR="00857D3B" w:rsidRPr="000A7996" w:rsidRDefault="00762251" w:rsidP="000A799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является Директор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«Нефтяник», заместителем Комиссии – старший тренер-преподаватель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DC7BEB4" w14:textId="67A7FCD8" w:rsidR="00F51DBE" w:rsidRPr="000A7996" w:rsidRDefault="00762251" w:rsidP="000A799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Комиссии входят тренеры-</w:t>
      </w:r>
      <w:r w:rsidR="00822CD0">
        <w:rPr>
          <w:rFonts w:ascii="Times New Roman" w:hAnsi="Times New Roman" w:cs="Times New Roman"/>
          <w:sz w:val="24"/>
          <w:szCs w:val="24"/>
        </w:rPr>
        <w:t>преподаватели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команд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а также иные лица, принимающие непосредственное участие в процессе спортивной подготовки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2EBCA18" w14:textId="329BD385" w:rsidR="00F51DBE" w:rsidRPr="000A7996" w:rsidRDefault="00F51DBE" w:rsidP="000A79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Комиссии формируется таким образом, чтобы была исключена возможность возникновения конфликта интересов, которая могла бы повлиять на принимаемые Комиссией решения.  Персональный состав Комиссии утверждается распоряжением Директора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AB4D83B" w14:textId="77777777" w:rsidR="00F51DBE" w:rsidRDefault="00857D3B" w:rsidP="005750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Комиссии:</w:t>
      </w:r>
    </w:p>
    <w:p w14:paraId="26D81D49" w14:textId="77777777" w:rsidR="00857D3B" w:rsidRDefault="00857D3B" w:rsidP="0057502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общее руководство Комиссией</w:t>
      </w:r>
    </w:p>
    <w:p w14:paraId="4BE848CB" w14:textId="77777777" w:rsidR="00857D3B" w:rsidRDefault="00857D3B" w:rsidP="0057502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</w:t>
      </w:r>
    </w:p>
    <w:p w14:paraId="293D7455" w14:textId="77777777" w:rsidR="00857D3B" w:rsidRDefault="00857D3B" w:rsidP="0057502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поручения членам Комиссии</w:t>
      </w:r>
    </w:p>
    <w:p w14:paraId="35A49987" w14:textId="77777777" w:rsidR="00857D3B" w:rsidRPr="000A7996" w:rsidRDefault="00857D3B" w:rsidP="000A79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 итого</w:t>
      </w:r>
      <w:r w:rsidR="000A7996">
        <w:rPr>
          <w:rFonts w:ascii="Times New Roman" w:hAnsi="Times New Roman" w:cs="Times New Roman"/>
          <w:sz w:val="24"/>
          <w:szCs w:val="24"/>
        </w:rPr>
        <w:t>вые протоколы заседаний Комиссии</w:t>
      </w:r>
    </w:p>
    <w:p w14:paraId="06A28FD0" w14:textId="1F0E621F" w:rsidR="00857D3B" w:rsidRPr="000A7996" w:rsidRDefault="00857D3B" w:rsidP="000A799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отсутствии председателя Комиссии его обязанности исполняет заместитель председателя Комиссии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2573C1C8" w14:textId="77777777" w:rsidR="00857D3B" w:rsidRDefault="00857D3B" w:rsidP="0057502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Комиссии обеспечивает организационное сопровождение деятельности Комиссии, в том числе:</w:t>
      </w:r>
    </w:p>
    <w:p w14:paraId="64DDD75E" w14:textId="77777777" w:rsidR="00857D3B" w:rsidRDefault="00857D3B" w:rsidP="00575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прием и обработку заявок на просмотр хоккеистов</w:t>
      </w:r>
    </w:p>
    <w:p w14:paraId="2D9C1674" w14:textId="77777777" w:rsidR="00857D3B" w:rsidRDefault="00857D3B" w:rsidP="00575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членов Комиссии о месте и времени проведения просмотровых мероприятий</w:t>
      </w:r>
    </w:p>
    <w:p w14:paraId="581629CB" w14:textId="77777777" w:rsidR="00857D3B" w:rsidRDefault="00857D3B" w:rsidP="00575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Подготавливает необходимую документацию</w:t>
      </w:r>
    </w:p>
    <w:p w14:paraId="654E3FCA" w14:textId="77777777" w:rsidR="00857D3B" w:rsidRPr="000A7996" w:rsidRDefault="00857D3B" w:rsidP="000A79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иные поручения председателя Комиссии</w:t>
      </w:r>
    </w:p>
    <w:p w14:paraId="05F20992" w14:textId="77777777" w:rsidR="00857D3B" w:rsidRPr="00857D3B" w:rsidRDefault="00857D3B" w:rsidP="0057502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Комиссии</w:t>
      </w:r>
      <w:r w:rsidRPr="00857D3B">
        <w:rPr>
          <w:rFonts w:ascii="Times New Roman" w:hAnsi="Times New Roman" w:cs="Times New Roman"/>
          <w:sz w:val="24"/>
          <w:szCs w:val="24"/>
        </w:rPr>
        <w:t>:</w:t>
      </w:r>
    </w:p>
    <w:p w14:paraId="3165C9B5" w14:textId="77777777" w:rsidR="00857D3B" w:rsidRDefault="00857D3B" w:rsidP="0057502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проведении контрольных испытаний</w:t>
      </w:r>
    </w:p>
    <w:p w14:paraId="28F7E9EA" w14:textId="77777777" w:rsidR="00857D3B" w:rsidRDefault="00857D3B" w:rsidP="0057502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решения по вопросам, отнесенным к компетенции Комиссии</w:t>
      </w:r>
    </w:p>
    <w:p w14:paraId="49D58296" w14:textId="77777777" w:rsidR="00857D3B" w:rsidRPr="00857D3B" w:rsidRDefault="00857D3B" w:rsidP="0057502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Информируют родителей детей о результатах контрольных испытаний</w:t>
      </w:r>
    </w:p>
    <w:p w14:paraId="1EFF8066" w14:textId="77777777" w:rsidR="005C6380" w:rsidRPr="000A7996" w:rsidRDefault="00857D3B" w:rsidP="000A799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иные поручения председателя Комиссии</w:t>
      </w:r>
    </w:p>
    <w:p w14:paraId="4AED7C9B" w14:textId="77777777" w:rsidR="005C6380" w:rsidRPr="005C6380" w:rsidRDefault="005C6380" w:rsidP="00C15F18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13D21EF4" w14:textId="77777777" w:rsidR="0057502E" w:rsidRDefault="0057502E" w:rsidP="0057502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502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ПРАВИЛА ПРИЕМА ЛИЦ,  ЖЕЛАЮЩИХ ПРОХОДИТЬ </w:t>
      </w:r>
    </w:p>
    <w:p w14:paraId="5D7F3A75" w14:textId="6346EB44" w:rsidR="00762251" w:rsidRPr="00961575" w:rsidRDefault="0057502E" w:rsidP="00961575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502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СПОРТИВНУЮ ПОДГОТОВКУ В СШ </w:t>
      </w:r>
      <w:r w:rsidR="00E82B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 </w:t>
      </w:r>
      <w:r w:rsidRPr="0057502E">
        <w:rPr>
          <w:rFonts w:ascii="Times New Roman" w:hAnsi="Times New Roman" w:cs="Times New Roman"/>
          <w:b/>
          <w:color w:val="002060"/>
          <w:sz w:val="24"/>
          <w:szCs w:val="24"/>
        </w:rPr>
        <w:t>«НЕФТЯНИК»</w:t>
      </w:r>
    </w:p>
    <w:p w14:paraId="74F2892C" w14:textId="77777777" w:rsidR="005C6380" w:rsidRPr="000A7996" w:rsidRDefault="0008244B" w:rsidP="000A79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5C6380">
        <w:rPr>
          <w:rFonts w:ascii="Times New Roman" w:hAnsi="Times New Roman" w:cs="Times New Roman"/>
          <w:sz w:val="24"/>
          <w:szCs w:val="24"/>
        </w:rPr>
        <w:t xml:space="preserve"> лиц, желающих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 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«Нефтяник», осуществляется по результатам отбора/просмотра на основании заявления родителей (законных представителей), приказа о зачислении, издаваемые Директором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5C6380">
        <w:rPr>
          <w:rFonts w:ascii="Times New Roman" w:hAnsi="Times New Roman" w:cs="Times New Roman"/>
          <w:sz w:val="24"/>
          <w:szCs w:val="24"/>
        </w:rPr>
        <w:t>«Нефтяник», и контракта юниора, подлежащего заключению, начиная с этапа начальной подготовки (8 лет)</w:t>
      </w:r>
    </w:p>
    <w:p w14:paraId="178541B1" w14:textId="77777777" w:rsidR="005C6380" w:rsidRPr="000A7996" w:rsidRDefault="005C6380" w:rsidP="005C638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Подача заявлений от родителей (законных представителей) лиц, желающих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и прошедших отбор / просмотр, осуществляется путем предоставления документов на бумажных носителях</w:t>
      </w:r>
    </w:p>
    <w:p w14:paraId="6E35DB92" w14:textId="77777777" w:rsidR="005C6380" w:rsidRDefault="0008244B" w:rsidP="005C638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80">
        <w:rPr>
          <w:rFonts w:ascii="Times New Roman" w:hAnsi="Times New Roman" w:cs="Times New Roman"/>
          <w:sz w:val="24"/>
          <w:szCs w:val="24"/>
        </w:rPr>
        <w:t>Прием заявлений осуществляется завучем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 в соответствии с графиком работы СШ </w:t>
      </w:r>
      <w:r w:rsidR="00E82BF1">
        <w:rPr>
          <w:rFonts w:ascii="Times New Roman" w:hAnsi="Times New Roman" w:cs="Times New Roman"/>
          <w:sz w:val="24"/>
          <w:szCs w:val="24"/>
        </w:rPr>
        <w:t>ДО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</w:t>
      </w:r>
    </w:p>
    <w:p w14:paraId="233559B1" w14:textId="77777777" w:rsidR="005C6380" w:rsidRDefault="005C6380" w:rsidP="005C6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E9346" w14:textId="77777777" w:rsidR="000A7996" w:rsidRPr="00784018" w:rsidRDefault="000A7996" w:rsidP="000A7996">
      <w:pPr>
        <w:jc w:val="right"/>
        <w:rPr>
          <w:rFonts w:ascii="Times New Roman" w:hAnsi="Times New Roman" w:cs="Times New Roman"/>
          <w:b/>
          <w:color w:val="002060"/>
        </w:rPr>
      </w:pPr>
      <w:r w:rsidRPr="00641176">
        <w:rPr>
          <w:noProof/>
          <w:color w:val="002060"/>
          <w:lang w:eastAsia="ru-RU"/>
        </w:rPr>
        <w:drawing>
          <wp:inline distT="0" distB="0" distL="0" distR="0" wp14:anchorId="504C5F08" wp14:editId="1CE6A241">
            <wp:extent cx="398834" cy="36965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176">
        <w:rPr>
          <w:rFonts w:ascii="Times New Roman" w:hAnsi="Times New Roman" w:cs="Times New Roman"/>
          <w:b/>
          <w:color w:val="002060"/>
        </w:rPr>
        <w:t>_____________________________________________________</w:t>
      </w:r>
      <w:r>
        <w:rPr>
          <w:rFonts w:ascii="Times New Roman" w:hAnsi="Times New Roman" w:cs="Times New Roman"/>
          <w:b/>
          <w:color w:val="002060"/>
        </w:rPr>
        <w:t>_______________________________6</w:t>
      </w:r>
    </w:p>
    <w:p w14:paraId="3A24B235" w14:textId="77777777" w:rsidR="000A7996" w:rsidRDefault="000A7996" w:rsidP="005C6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56390" w14:textId="77777777" w:rsidR="000A7996" w:rsidRPr="005C6380" w:rsidRDefault="000A7996" w:rsidP="005C6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949A8" w14:textId="77777777" w:rsidR="005C6380" w:rsidRPr="000A7996" w:rsidRDefault="0008244B" w:rsidP="000A799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80">
        <w:rPr>
          <w:rFonts w:ascii="Times New Roman" w:hAnsi="Times New Roman" w:cs="Times New Roman"/>
          <w:sz w:val="24"/>
          <w:szCs w:val="24"/>
        </w:rPr>
        <w:t>При  подаче заявления родителем (законным представителем) лица, желающего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«Нефтяник», необходимы следующие документы:</w:t>
      </w:r>
    </w:p>
    <w:p w14:paraId="296B6A4E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(родителя, законного представителя)</w:t>
      </w:r>
    </w:p>
    <w:p w14:paraId="18D9F5A0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Свидетельство о рождении (либо документ, его заменяющий) лица, желающего проходить спортивную подготовку</w:t>
      </w:r>
    </w:p>
    <w:p w14:paraId="7CB0B2F1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желающего проходить спортивную подготовку</w:t>
      </w:r>
    </w:p>
    <w:p w14:paraId="21CDD41E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СНИЛС</w:t>
      </w:r>
    </w:p>
    <w:p w14:paraId="704F5372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Полис ОМС</w:t>
      </w:r>
    </w:p>
    <w:p w14:paraId="2E41205F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Полис страхования от несчастных случаев с пометкой «спорт» (период страхового покрытия 24ч, включая период занятия спортом) (для лиц, желающих проходить спортивную подготовку на спортивно-оздоровительном этапе)</w:t>
      </w:r>
    </w:p>
    <w:p w14:paraId="13839BFB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Медицинская справка об отсутствии медицинских противопоказаний для занятия хоккеем</w:t>
      </w:r>
    </w:p>
    <w:p w14:paraId="3B0399E4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ИНН</w:t>
      </w:r>
    </w:p>
    <w:p w14:paraId="14339207" w14:textId="77777777" w:rsidR="0008244B" w:rsidRPr="0008244B" w:rsidRDefault="0008244B" w:rsidP="0008244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 xml:space="preserve">Фото (3х4), 3 </w:t>
      </w:r>
      <w:proofErr w:type="spellStart"/>
      <w:r w:rsidRPr="0008244B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1975D3FD" w14:textId="77777777" w:rsidR="0008244B" w:rsidRPr="0008244B" w:rsidRDefault="0008244B" w:rsidP="000824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А также, см. Таблица № 1 «Перечень необходимых документов для допуска к контрольно-тренировочным занятиям»</w:t>
      </w:r>
    </w:p>
    <w:p w14:paraId="58524249" w14:textId="77777777" w:rsidR="005C6380" w:rsidRDefault="005C6380" w:rsidP="000A7996">
      <w:pPr>
        <w:rPr>
          <w:rFonts w:ascii="Times New Roman" w:hAnsi="Times New Roman" w:cs="Times New Roman"/>
          <w:sz w:val="24"/>
          <w:szCs w:val="24"/>
        </w:rPr>
      </w:pPr>
    </w:p>
    <w:p w14:paraId="66C5DF41" w14:textId="77777777" w:rsidR="005C6380" w:rsidRDefault="001B6DF0" w:rsidP="001B6DF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B6DF0">
        <w:rPr>
          <w:rFonts w:ascii="Times New Roman" w:hAnsi="Times New Roman" w:cs="Times New Roman"/>
          <w:b/>
          <w:color w:val="002060"/>
          <w:sz w:val="24"/>
          <w:szCs w:val="24"/>
        </w:rPr>
        <w:t>ПРАВИЛА ПРОМЕЖУТОЧНОЙ АТТЕСТАЦИИ И ПЕРЕВОДА ЛИЦ НА СЛЕДУЮЩИЙ ЭТАП СПОРТИВНОЙ ПОДГОТОВКИ</w:t>
      </w:r>
    </w:p>
    <w:p w14:paraId="5012C0AA" w14:textId="77777777" w:rsidR="009A3F73" w:rsidRPr="001B6DF0" w:rsidRDefault="009A3F73" w:rsidP="009A3F7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A7623DA" w14:textId="77777777" w:rsidR="009A3F73" w:rsidRPr="000A7996" w:rsidRDefault="009A3F73" w:rsidP="000A79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F0">
        <w:rPr>
          <w:rFonts w:ascii="Times New Roman" w:hAnsi="Times New Roman" w:cs="Times New Roman"/>
          <w:sz w:val="24"/>
          <w:szCs w:val="24"/>
        </w:rPr>
        <w:t xml:space="preserve">Перевод лиц, проходящих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1B6DF0">
        <w:rPr>
          <w:rFonts w:ascii="Times New Roman" w:hAnsi="Times New Roman" w:cs="Times New Roman"/>
          <w:sz w:val="24"/>
          <w:szCs w:val="24"/>
        </w:rPr>
        <w:t>«Нефтяник», с одного этапа подготовки на следующий</w:t>
      </w:r>
      <w:r>
        <w:rPr>
          <w:rFonts w:ascii="Times New Roman" w:hAnsi="Times New Roman" w:cs="Times New Roman"/>
          <w:sz w:val="24"/>
          <w:szCs w:val="24"/>
        </w:rPr>
        <w:t>,  осуществляет</w:t>
      </w:r>
      <w:r w:rsidR="001B6DF0">
        <w:rPr>
          <w:rFonts w:ascii="Times New Roman" w:hAnsi="Times New Roman" w:cs="Times New Roman"/>
          <w:sz w:val="24"/>
          <w:szCs w:val="24"/>
        </w:rPr>
        <w:t xml:space="preserve">ся в соответствии с выполнением лицами, проходящими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1B6DF0">
        <w:rPr>
          <w:rFonts w:ascii="Times New Roman" w:hAnsi="Times New Roman" w:cs="Times New Roman"/>
          <w:sz w:val="24"/>
          <w:szCs w:val="24"/>
        </w:rPr>
        <w:t xml:space="preserve">«Нефтяник», утвержденных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1B6DF0">
        <w:rPr>
          <w:rFonts w:ascii="Times New Roman" w:hAnsi="Times New Roman" w:cs="Times New Roman"/>
          <w:sz w:val="24"/>
          <w:szCs w:val="24"/>
        </w:rPr>
        <w:t xml:space="preserve">«Нефтяник» нормативов, оценкой результатов их выступлений на соревнованиях и объективной педагогической оценкой тренером-преподавателем уровня их </w:t>
      </w:r>
      <w:r>
        <w:rPr>
          <w:rFonts w:ascii="Times New Roman" w:hAnsi="Times New Roman" w:cs="Times New Roman"/>
          <w:sz w:val="24"/>
          <w:szCs w:val="24"/>
        </w:rPr>
        <w:t>подготовленности</w:t>
      </w:r>
    </w:p>
    <w:p w14:paraId="214A6A31" w14:textId="77777777" w:rsidR="009A3F73" w:rsidRPr="000A7996" w:rsidRDefault="009A3F73" w:rsidP="009A3F7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Промежуточная аттестация лиц, проходящих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осуществляется на основании выполнения нормативов, и осуществляется два раза в год, перед началом и в конце игрового сезона (соревновательного периода</w:t>
      </w:r>
      <w:r w:rsidR="000A7996">
        <w:rPr>
          <w:rFonts w:ascii="Times New Roman" w:hAnsi="Times New Roman" w:cs="Times New Roman"/>
          <w:sz w:val="24"/>
          <w:szCs w:val="24"/>
        </w:rPr>
        <w:t>)</w:t>
      </w:r>
    </w:p>
    <w:p w14:paraId="3ED8A75A" w14:textId="77777777" w:rsidR="009A3F73" w:rsidRPr="000A7996" w:rsidRDefault="009A3F73" w:rsidP="000A799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по решению руководства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возможно проведение дополнительных контрольных испытаний</w:t>
      </w:r>
    </w:p>
    <w:p w14:paraId="18990176" w14:textId="77777777" w:rsidR="009A3F73" w:rsidRPr="000A7996" w:rsidRDefault="009A3F73" w:rsidP="000A799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и требования к проведению контрольных испытаний по сдаче нормативов лицами, проходящими спортивную подготовку, представлены в Программах по спортивной подготовке отделений «Хоккей» и «Фигурное катание на коньках»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и разработаны в соответствии с требованиями Федеральных стандартов подготовки по видам спорта Хоккей и Фигурное катание на коньках</w:t>
      </w:r>
    </w:p>
    <w:p w14:paraId="40D9D692" w14:textId="77777777" w:rsidR="009A3F73" w:rsidRPr="001B6DF0" w:rsidRDefault="009A3F73" w:rsidP="009A3F7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испытаний по окончании игрового сезона (соревновательного периода) издается приказ о переводе лица на следующий этап спортивной подготовки.</w:t>
      </w:r>
    </w:p>
    <w:p w14:paraId="00097C8E" w14:textId="77777777" w:rsidR="005C6380" w:rsidRDefault="005C6380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FBFB14" w14:textId="77777777" w:rsidR="005C6380" w:rsidRDefault="005C6380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DBD72E" w14:textId="77777777" w:rsidR="005C6380" w:rsidRDefault="005C6380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DAC797" w14:textId="77777777" w:rsidR="005C6380" w:rsidRDefault="005C6380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3279EE6" w14:textId="77777777" w:rsidR="009A3F73" w:rsidRDefault="009A3F73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07CA4C" w14:textId="77777777" w:rsidR="009A3F73" w:rsidRDefault="009A3F73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E886B8" w14:textId="77777777" w:rsidR="009A3F73" w:rsidRDefault="009A3F73" w:rsidP="005C638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853B22" w14:textId="77777777" w:rsidR="000A7996" w:rsidRPr="00784018" w:rsidRDefault="000A7996" w:rsidP="000A7996">
      <w:pPr>
        <w:jc w:val="right"/>
        <w:rPr>
          <w:rFonts w:ascii="Times New Roman" w:hAnsi="Times New Roman" w:cs="Times New Roman"/>
          <w:b/>
          <w:color w:val="002060"/>
        </w:rPr>
      </w:pPr>
      <w:r w:rsidRPr="00641176">
        <w:rPr>
          <w:noProof/>
          <w:color w:val="002060"/>
          <w:lang w:eastAsia="ru-RU"/>
        </w:rPr>
        <w:drawing>
          <wp:inline distT="0" distB="0" distL="0" distR="0" wp14:anchorId="56EB641D" wp14:editId="1F6C97D6">
            <wp:extent cx="398834" cy="369651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176">
        <w:rPr>
          <w:rFonts w:ascii="Times New Roman" w:hAnsi="Times New Roman" w:cs="Times New Roman"/>
          <w:b/>
          <w:color w:val="002060"/>
        </w:rPr>
        <w:t>_____________________________________________________</w:t>
      </w:r>
      <w:r>
        <w:rPr>
          <w:rFonts w:ascii="Times New Roman" w:hAnsi="Times New Roman" w:cs="Times New Roman"/>
          <w:b/>
          <w:color w:val="002060"/>
        </w:rPr>
        <w:t>_______________________________7</w:t>
      </w:r>
    </w:p>
    <w:p w14:paraId="103A3C54" w14:textId="77777777" w:rsidR="009A3F73" w:rsidRDefault="009A3F73" w:rsidP="000A7996">
      <w:pPr>
        <w:rPr>
          <w:rFonts w:ascii="Times New Roman" w:hAnsi="Times New Roman" w:cs="Times New Roman"/>
          <w:sz w:val="24"/>
          <w:szCs w:val="24"/>
        </w:rPr>
      </w:pPr>
    </w:p>
    <w:p w14:paraId="2529261A" w14:textId="05D6F9B6" w:rsidR="009A3F73" w:rsidRDefault="009A3F73" w:rsidP="009A3F7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3F73">
        <w:rPr>
          <w:rFonts w:ascii="Times New Roman" w:hAnsi="Times New Roman" w:cs="Times New Roman"/>
          <w:b/>
          <w:color w:val="002060"/>
          <w:sz w:val="24"/>
          <w:szCs w:val="24"/>
        </w:rPr>
        <w:t>ПРАВИЛА ОТЧИСЛЕНИЯ ИЗ СШ</w:t>
      </w:r>
      <w:r w:rsidR="00E82B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</w:t>
      </w:r>
      <w:r w:rsidRPr="009A3F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«НЕФТЯНИК»</w:t>
      </w:r>
    </w:p>
    <w:p w14:paraId="36A78724" w14:textId="77777777" w:rsidR="009A3F73" w:rsidRDefault="009A3F73" w:rsidP="009A3F7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69A7527" w14:textId="59274838" w:rsidR="00AF2BCF" w:rsidRPr="00822CD0" w:rsidRDefault="009A3F73" w:rsidP="00822CD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 xml:space="preserve"> Отчисление лиц, проходящих спортивную подготовку, из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 xml:space="preserve">«Нефтяник» </w:t>
      </w:r>
      <w:r w:rsidR="00B30929" w:rsidRPr="00AF2BCF">
        <w:rPr>
          <w:rFonts w:ascii="Times New Roman" w:hAnsi="Times New Roman" w:cs="Times New Roman"/>
          <w:sz w:val="24"/>
          <w:szCs w:val="24"/>
        </w:rPr>
        <w:t>осуществляется на основании при</w:t>
      </w:r>
      <w:r w:rsidRPr="00AF2BCF">
        <w:rPr>
          <w:rFonts w:ascii="Times New Roman" w:hAnsi="Times New Roman" w:cs="Times New Roman"/>
          <w:sz w:val="24"/>
          <w:szCs w:val="24"/>
        </w:rPr>
        <w:t xml:space="preserve">каза об отчислении, издаваемого Директором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 xml:space="preserve">«Нефтяник». Отчисление лица из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>«Нефтяник»</w:t>
      </w:r>
      <w:r w:rsidR="00B30929" w:rsidRPr="00AF2BCF">
        <w:rPr>
          <w:rFonts w:ascii="Times New Roman" w:hAnsi="Times New Roman" w:cs="Times New Roman"/>
          <w:sz w:val="24"/>
          <w:szCs w:val="24"/>
        </w:rPr>
        <w:t xml:space="preserve"> влечет расторжение контракта юниора (в случаях, когда он был заключен)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E8D5567" w14:textId="77777777" w:rsidR="00B30929" w:rsidRPr="00AF2BCF" w:rsidRDefault="00B30929" w:rsidP="00AF2BC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 xml:space="preserve"> Отчисление лиц, п</w:t>
      </w:r>
      <w:r w:rsidR="00AF2BCF">
        <w:rPr>
          <w:rFonts w:ascii="Times New Roman" w:hAnsi="Times New Roman" w:cs="Times New Roman"/>
          <w:sz w:val="24"/>
          <w:szCs w:val="24"/>
        </w:rPr>
        <w:t>роходящих спортивную подготовку</w:t>
      </w:r>
      <w:r w:rsidRPr="00AF2BCF">
        <w:rPr>
          <w:rFonts w:ascii="Times New Roman" w:hAnsi="Times New Roman" w:cs="Times New Roman"/>
          <w:sz w:val="24"/>
          <w:szCs w:val="24"/>
        </w:rPr>
        <w:t>, из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AF2BCF">
        <w:rPr>
          <w:rFonts w:ascii="Times New Roman" w:hAnsi="Times New Roman" w:cs="Times New Roman"/>
          <w:sz w:val="24"/>
          <w:szCs w:val="24"/>
        </w:rPr>
        <w:t xml:space="preserve"> «Нефтяник» осуществляется по следующим основаниям:</w:t>
      </w:r>
    </w:p>
    <w:p w14:paraId="2F120A30" w14:textId="36132F8E" w:rsidR="00CF197E" w:rsidRPr="00E82BF1" w:rsidRDefault="00B30929" w:rsidP="00E82BF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 xml:space="preserve">На основании медицинского заключения, запрещающего лицу, проходящему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>«Нефтяник» заниматься хоккеем, фигурным катанием на коньках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621DAF00" w14:textId="516F4E14" w:rsidR="00B30929" w:rsidRPr="00AF2BCF" w:rsidRDefault="00B30929" w:rsidP="00AF2B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лиц, проходящи</w:t>
      </w:r>
      <w:r w:rsidR="00AF2BCF">
        <w:rPr>
          <w:rFonts w:ascii="Times New Roman" w:hAnsi="Times New Roman" w:cs="Times New Roman"/>
          <w:sz w:val="24"/>
          <w:szCs w:val="24"/>
        </w:rPr>
        <w:t>х с</w:t>
      </w:r>
      <w:r w:rsidRPr="00AF2BCF">
        <w:rPr>
          <w:rFonts w:ascii="Times New Roman" w:hAnsi="Times New Roman" w:cs="Times New Roman"/>
          <w:sz w:val="24"/>
          <w:szCs w:val="24"/>
        </w:rPr>
        <w:t xml:space="preserve">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27CF6B7E" w14:textId="470622BC" w:rsidR="00B30929" w:rsidRDefault="00B30929" w:rsidP="00AF2B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>В случае значительного снижения уровня тренирова</w:t>
      </w:r>
      <w:r w:rsidR="00AF2BCF">
        <w:rPr>
          <w:rFonts w:ascii="Times New Roman" w:hAnsi="Times New Roman" w:cs="Times New Roman"/>
          <w:sz w:val="24"/>
          <w:szCs w:val="24"/>
        </w:rPr>
        <w:t>нности, а именно ухудшения его о</w:t>
      </w:r>
      <w:r w:rsidR="00AF2B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F2BCF">
        <w:rPr>
          <w:rFonts w:ascii="Times New Roman" w:hAnsi="Times New Roman" w:cs="Times New Roman"/>
          <w:sz w:val="24"/>
          <w:szCs w:val="24"/>
        </w:rPr>
        <w:t>новного</w:t>
      </w:r>
      <w:proofErr w:type="spellEnd"/>
      <w:r w:rsidRPr="00AF2BCF">
        <w:rPr>
          <w:rFonts w:ascii="Times New Roman" w:hAnsi="Times New Roman" w:cs="Times New Roman"/>
          <w:sz w:val="24"/>
          <w:szCs w:val="24"/>
        </w:rPr>
        <w:t xml:space="preserve"> показателя – технико-</w:t>
      </w:r>
      <w:r w:rsidR="00AF2BCF">
        <w:rPr>
          <w:rFonts w:ascii="Times New Roman" w:hAnsi="Times New Roman" w:cs="Times New Roman"/>
          <w:sz w:val="24"/>
          <w:szCs w:val="24"/>
        </w:rPr>
        <w:t>тактической</w:t>
      </w:r>
      <w:r w:rsidRPr="00AF2BCF">
        <w:rPr>
          <w:rFonts w:ascii="Times New Roman" w:hAnsi="Times New Roman" w:cs="Times New Roman"/>
          <w:sz w:val="24"/>
          <w:szCs w:val="24"/>
        </w:rPr>
        <w:t xml:space="preserve"> подготовленности на основании анализа</w:t>
      </w:r>
      <w:r w:rsidR="00AF2BCF">
        <w:rPr>
          <w:rFonts w:ascii="Times New Roman" w:hAnsi="Times New Roman" w:cs="Times New Roman"/>
          <w:sz w:val="24"/>
          <w:szCs w:val="24"/>
        </w:rPr>
        <w:t xml:space="preserve"> индивидуальных игровых показателей (игровой статистики в матчах)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B5B881B" w14:textId="021A7A7A" w:rsidR="00AF2BCF" w:rsidRDefault="00AF2BCF" w:rsidP="00AF2B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контрольных испытаний общей и специальной физической подготовленности, согласно утвержденным нормативам для конкретной возрастной группы при условии, что лицо, проходящее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показывает слабые спортивные результаты по нескольким тестовым упражнениям в сравнении со среднегрупповым показателем по конкретному тестовому упражнению в команде на данный момент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61814AA6" w14:textId="570394A8" w:rsidR="00AF2BCF" w:rsidRDefault="00AF2BCF" w:rsidP="00AF2B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объединении двух групп подготовки в одну на спортивно-оздоровительном этапе в связи с необходимостью сокращения числа занимающихся до утвержденного лимита в данной группе на основании объективной оценки тренера (комиссии), динамики роста спортивного мастерства лица, проходящего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и оценки его результатов выполнения нормативов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819B026" w14:textId="1DE06D71" w:rsidR="00CF197E" w:rsidRPr="00E82BF1" w:rsidRDefault="00026BA5" w:rsidP="00E82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сокращения количества занимающихся в группе подготовки в связи с переходом на игру в один игровой состав (в случае, если ранее игра велась в 2 игровых составах)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4C878695" w14:textId="23B6261A" w:rsidR="00CF197E" w:rsidRPr="00CF197E" w:rsidRDefault="007E6724" w:rsidP="00E82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превышения утвержденного лимита по количеству  спортсменов в команде, связанного приглашением более подготовленного лица из другой спортивной школы, на основании оценки тренера (Комиссии) спортивного мастерства (уровня тренированности, технико-тактической подготовленности, результатов выполняемых нормативов, тестовых упражнений и пр.) приглашаемого лица и лица, проходящего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0642E7BC" w14:textId="77777777" w:rsidR="00CF197E" w:rsidRDefault="00CF197E" w:rsidP="00CF197E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FC0D676" w14:textId="48F96C22" w:rsidR="007E6724" w:rsidRDefault="007E6724" w:rsidP="00CF197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пропуска более 40% тренировочных занятий в календарном месяце без уважительной пр</w:t>
      </w:r>
      <w:r w:rsidR="00CF197E">
        <w:rPr>
          <w:rFonts w:ascii="Times New Roman" w:hAnsi="Times New Roman" w:cs="Times New Roman"/>
          <w:sz w:val="24"/>
          <w:szCs w:val="24"/>
        </w:rPr>
        <w:t>ичины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3F04B6E" w14:textId="77777777" w:rsidR="00CF197E" w:rsidRDefault="00CF197E" w:rsidP="00CF197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48A7748" w14:textId="6F73CFD7" w:rsidR="00CF197E" w:rsidRDefault="007E6724" w:rsidP="00CF197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несоблюдения действующего кодекса этики ФХР лицом, проходящим спортивную подготовку, его родителями (законными представителями)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6F0EC119" w14:textId="77777777" w:rsidR="00CF197E" w:rsidRPr="00CF197E" w:rsidRDefault="00CF197E" w:rsidP="00CF19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12C1E9" w14:textId="2E723BFB" w:rsidR="00CF197E" w:rsidRPr="00CF197E" w:rsidRDefault="007E6724" w:rsidP="00CF197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вмешательства в тренировочный и соревновательный процессы родителей (законных представителей) лиц, проходящих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7EA5DBC9" w14:textId="53C101E3" w:rsidR="00CF197E" w:rsidRPr="00CF197E" w:rsidRDefault="007E6724" w:rsidP="00CF197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условиями контракта юниора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BEDAD8C" w14:textId="77777777" w:rsidR="00CF197E" w:rsidRDefault="00CF197E" w:rsidP="00AF2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27B3B2" w14:textId="77777777" w:rsidR="00CF197E" w:rsidRDefault="00CF197E" w:rsidP="00CF197E">
      <w:pPr>
        <w:jc w:val="right"/>
        <w:rPr>
          <w:rFonts w:ascii="Times New Roman" w:hAnsi="Times New Roman" w:cs="Times New Roman"/>
          <w:b/>
          <w:color w:val="002060"/>
        </w:rPr>
      </w:pPr>
      <w:r w:rsidRPr="00641176">
        <w:rPr>
          <w:noProof/>
          <w:color w:val="002060"/>
          <w:lang w:eastAsia="ru-RU"/>
        </w:rPr>
        <w:drawing>
          <wp:inline distT="0" distB="0" distL="0" distR="0" wp14:anchorId="2409A46A" wp14:editId="20F54EC7">
            <wp:extent cx="398834" cy="369651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176">
        <w:rPr>
          <w:rFonts w:ascii="Times New Roman" w:hAnsi="Times New Roman" w:cs="Times New Roman"/>
          <w:b/>
          <w:color w:val="002060"/>
        </w:rPr>
        <w:t>_____________________________________________________</w:t>
      </w:r>
      <w:r w:rsidR="000A7996">
        <w:rPr>
          <w:rFonts w:ascii="Times New Roman" w:hAnsi="Times New Roman" w:cs="Times New Roman"/>
          <w:b/>
          <w:color w:val="002060"/>
        </w:rPr>
        <w:t>______________________________8</w:t>
      </w:r>
    </w:p>
    <w:p w14:paraId="1625735B" w14:textId="77777777" w:rsidR="00CF197E" w:rsidRPr="000A7996" w:rsidRDefault="00CF197E" w:rsidP="000A79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72CAC" w14:textId="049A612B" w:rsidR="007E6724" w:rsidRPr="007E6724" w:rsidRDefault="007E6724" w:rsidP="007E672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24">
        <w:rPr>
          <w:rFonts w:ascii="Times New Roman" w:hAnsi="Times New Roman" w:cs="Times New Roman"/>
          <w:sz w:val="24"/>
          <w:szCs w:val="24"/>
        </w:rPr>
        <w:t xml:space="preserve">Отчисление лиц, проходящих спортивную подготовку, из </w:t>
      </w:r>
      <w:r w:rsidR="00822CD0" w:rsidRPr="007E6724">
        <w:rPr>
          <w:rFonts w:ascii="Times New Roman" w:hAnsi="Times New Roman" w:cs="Times New Roman"/>
          <w:sz w:val="24"/>
          <w:szCs w:val="24"/>
        </w:rPr>
        <w:t xml:space="preserve">СШ </w:t>
      </w:r>
      <w:r w:rsidR="00822CD0">
        <w:rPr>
          <w:rFonts w:ascii="Times New Roman" w:hAnsi="Times New Roman" w:cs="Times New Roman"/>
          <w:sz w:val="24"/>
          <w:szCs w:val="24"/>
        </w:rPr>
        <w:t>ДО</w:t>
      </w:r>
      <w:r w:rsidR="00E82BF1">
        <w:rPr>
          <w:rFonts w:ascii="Times New Roman" w:hAnsi="Times New Roman" w:cs="Times New Roman"/>
          <w:sz w:val="24"/>
          <w:szCs w:val="24"/>
        </w:rPr>
        <w:t xml:space="preserve"> </w:t>
      </w:r>
      <w:r w:rsidRPr="007E6724">
        <w:rPr>
          <w:rFonts w:ascii="Times New Roman" w:hAnsi="Times New Roman" w:cs="Times New Roman"/>
          <w:sz w:val="24"/>
          <w:szCs w:val="24"/>
        </w:rPr>
        <w:t xml:space="preserve">«Нефтяник» также возможно по решению Тренерского совета СШ </w:t>
      </w:r>
      <w:r w:rsidR="00822CD0">
        <w:rPr>
          <w:rFonts w:ascii="Times New Roman" w:hAnsi="Times New Roman" w:cs="Times New Roman"/>
          <w:sz w:val="24"/>
          <w:szCs w:val="24"/>
        </w:rPr>
        <w:t xml:space="preserve">ДО «Нефтяник» </w:t>
      </w:r>
      <w:r w:rsidRPr="007E67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35098852" w14:textId="04E91735" w:rsidR="007E6724" w:rsidRPr="007E6724" w:rsidRDefault="007E6724" w:rsidP="007E672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24">
        <w:rPr>
          <w:rFonts w:ascii="Times New Roman" w:hAnsi="Times New Roman" w:cs="Times New Roman"/>
          <w:sz w:val="24"/>
          <w:szCs w:val="24"/>
        </w:rPr>
        <w:t xml:space="preserve">В случае неоднократного (повторного) нарушения лицом, проходящим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E6724">
        <w:rPr>
          <w:rFonts w:ascii="Times New Roman" w:hAnsi="Times New Roman" w:cs="Times New Roman"/>
          <w:sz w:val="24"/>
          <w:szCs w:val="24"/>
        </w:rPr>
        <w:t>«Нефтяник» и/или его родителями (законными представителями) условий контракта, в том числе правил поведения в спортсооружении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49BF705B" w14:textId="6E59C50B" w:rsidR="007E6724" w:rsidRPr="007E6724" w:rsidRDefault="007E6724" w:rsidP="007E672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24">
        <w:rPr>
          <w:rFonts w:ascii="Times New Roman" w:hAnsi="Times New Roman" w:cs="Times New Roman"/>
          <w:sz w:val="24"/>
          <w:szCs w:val="24"/>
        </w:rPr>
        <w:t>В случае однократного грубого дисциплинарного нарушения лицом, проходящим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7E6724">
        <w:rPr>
          <w:rFonts w:ascii="Times New Roman" w:hAnsi="Times New Roman" w:cs="Times New Roman"/>
          <w:sz w:val="24"/>
          <w:szCs w:val="24"/>
        </w:rPr>
        <w:t xml:space="preserve"> «Нефтяник» и/или его родителями (законными представителями)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046203C" w14:textId="16DDBDA4" w:rsidR="009A3F73" w:rsidRDefault="00CF197E" w:rsidP="00CF197E">
      <w:pPr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22CD0">
        <w:rPr>
          <w:rFonts w:ascii="Times New Roman" w:hAnsi="Times New Roman" w:cs="Times New Roman"/>
          <w:sz w:val="24"/>
          <w:szCs w:val="24"/>
        </w:rPr>
        <w:t>4</w:t>
      </w:r>
      <w:r w:rsidR="00822CD0" w:rsidRPr="00CF197E">
        <w:rPr>
          <w:rFonts w:ascii="Times New Roman" w:hAnsi="Times New Roman" w:cs="Times New Roman"/>
          <w:sz w:val="24"/>
          <w:szCs w:val="24"/>
        </w:rPr>
        <w:t>.</w:t>
      </w:r>
      <w:r w:rsidR="00822CD0">
        <w:rPr>
          <w:rFonts w:ascii="Times New Roman" w:hAnsi="Times New Roman" w:cs="Times New Roman"/>
          <w:sz w:val="24"/>
          <w:szCs w:val="24"/>
        </w:rPr>
        <w:t xml:space="preserve"> Грубым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дисциплинарным нарушением признается нарушение, которое повлекло или могло повлечь тяжкие последствия в виде:</w:t>
      </w:r>
    </w:p>
    <w:p w14:paraId="2D4F7B16" w14:textId="5A2591DE" w:rsidR="00CF197E" w:rsidRPr="00CF197E" w:rsidRDefault="00CF197E" w:rsidP="00CF19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Причинение ущерба здоровью и жизни, физического и морального оскорбления лиц, проходящих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CF197E">
        <w:rPr>
          <w:rFonts w:ascii="Times New Roman" w:hAnsi="Times New Roman" w:cs="Times New Roman"/>
          <w:sz w:val="24"/>
          <w:szCs w:val="24"/>
        </w:rPr>
        <w:t xml:space="preserve"> «Нефтяник», сотрудников, посетителей ЦХП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D31B3F0" w14:textId="703C2C4F" w:rsidR="00CF197E" w:rsidRPr="00CF197E" w:rsidRDefault="00CF197E" w:rsidP="00CF19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Причинения ущерба имуществу ЦХП «Нефтяник», имуществу лиц, проходящих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CF197E">
        <w:rPr>
          <w:rFonts w:ascii="Times New Roman" w:hAnsi="Times New Roman" w:cs="Times New Roman"/>
          <w:sz w:val="24"/>
          <w:szCs w:val="24"/>
        </w:rPr>
        <w:t>«Нефтяник», сотрудников, посетителей ЦХП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6D0D9D3" w14:textId="327FE9E1" w:rsidR="00CF197E" w:rsidRPr="00CF197E" w:rsidRDefault="00CF197E" w:rsidP="00CF19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Причинения ущерба имуществу других физкультурно-спортивных организаций, обеспечивающих спортивную подготовку и участие команд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CF197E">
        <w:rPr>
          <w:rFonts w:ascii="Times New Roman" w:hAnsi="Times New Roman" w:cs="Times New Roman"/>
          <w:sz w:val="24"/>
          <w:szCs w:val="24"/>
        </w:rPr>
        <w:t xml:space="preserve"> «Нефтяник» в соревнованиях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2541531D" w14:textId="3A25E095" w:rsidR="00CF197E" w:rsidRDefault="00CF197E" w:rsidP="00CF19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Дезорганизации работы </w:t>
      </w:r>
      <w:r w:rsidR="00822CD0" w:rsidRPr="00CF197E">
        <w:rPr>
          <w:rFonts w:ascii="Times New Roman" w:hAnsi="Times New Roman" w:cs="Times New Roman"/>
          <w:sz w:val="24"/>
          <w:szCs w:val="24"/>
        </w:rPr>
        <w:t xml:space="preserve">СШ </w:t>
      </w:r>
      <w:r w:rsidR="00822CD0">
        <w:rPr>
          <w:rFonts w:ascii="Times New Roman" w:hAnsi="Times New Roman" w:cs="Times New Roman"/>
          <w:sz w:val="24"/>
          <w:szCs w:val="24"/>
        </w:rPr>
        <w:t>ДО</w:t>
      </w:r>
      <w:r w:rsidR="00F733C8">
        <w:rPr>
          <w:rFonts w:ascii="Times New Roman" w:hAnsi="Times New Roman" w:cs="Times New Roman"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61E42BF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3709A" w14:textId="77777777" w:rsidR="000A7996" w:rsidRPr="000A7996" w:rsidRDefault="000A7996" w:rsidP="000A79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7996">
        <w:rPr>
          <w:rFonts w:ascii="Times New Roman" w:hAnsi="Times New Roman" w:cs="Times New Roman"/>
          <w:b/>
          <w:color w:val="002060"/>
          <w:sz w:val="24"/>
          <w:szCs w:val="24"/>
        </w:rPr>
        <w:t>ОСОБЫЕ ПОЛОЖЕНИЯ</w:t>
      </w:r>
    </w:p>
    <w:p w14:paraId="5333AE45" w14:textId="77777777" w:rsidR="000A7996" w:rsidRPr="00CF197E" w:rsidRDefault="000A7996" w:rsidP="000A799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0B15D3E" w14:textId="77777777" w:rsidR="000A7996" w:rsidRPr="00CF197E" w:rsidRDefault="000A7996" w:rsidP="000A79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зачисление лиц в связи с переходом в СШ ДО  «Нефтяник» из другой физкультурно-спортивной организации / из СШ ДО «Нефтяник» в другую физкультурно-спортивную организацию осуществляется в соответствии с правилами, предусмотренными настоящим Порядком, с учетом требований и условий, установленных Положением о статусе и переходах юниоров и выпускников школ, утвержденными Федерацией хоккея России.</w:t>
      </w:r>
    </w:p>
    <w:p w14:paraId="2F52D4A3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44523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D1F79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D5FA7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611C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94809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D6B72" w14:textId="77777777" w:rsidR="00EF1948" w:rsidRDefault="00EF1948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FB6BA" w14:textId="77777777" w:rsidR="00EF1948" w:rsidRDefault="00EF1948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1CDE4" w14:textId="77777777" w:rsidR="00EF1948" w:rsidRDefault="00EF1948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4993E" w14:textId="77777777" w:rsidR="007D1919" w:rsidRDefault="007D1919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7AB34" w14:textId="32BC7276" w:rsidR="00EF1948" w:rsidRDefault="00EF1948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FDBC8" w14:textId="7E1F42FF" w:rsidR="00961575" w:rsidRDefault="00961575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A2B73" w14:textId="77777777" w:rsidR="00961575" w:rsidRDefault="00961575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FAEE6" w14:textId="77777777" w:rsidR="007D1919" w:rsidRPr="007D1919" w:rsidRDefault="007D1919" w:rsidP="007D1919">
      <w:pPr>
        <w:jc w:val="right"/>
        <w:rPr>
          <w:rFonts w:ascii="Times New Roman" w:hAnsi="Times New Roman" w:cs="Times New Roman"/>
          <w:b/>
          <w:color w:val="002060"/>
        </w:rPr>
      </w:pPr>
      <w:r w:rsidRPr="007D1919">
        <w:rPr>
          <w:rFonts w:ascii="Times New Roman" w:hAnsi="Times New Roman" w:cs="Times New Roman"/>
          <w:b/>
          <w:noProof/>
          <w:color w:val="002060"/>
          <w:lang w:eastAsia="ru-RU"/>
        </w:rPr>
        <w:lastRenderedPageBreak/>
        <w:drawing>
          <wp:inline distT="0" distB="0" distL="0" distR="0" wp14:anchorId="7DDBDAB7" wp14:editId="7662A80C">
            <wp:extent cx="398834" cy="369651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919">
        <w:rPr>
          <w:rFonts w:ascii="Times New Roman" w:hAnsi="Times New Roman" w:cs="Times New Roman"/>
          <w:b/>
          <w:color w:val="002060"/>
        </w:rPr>
        <w:t>___________________________________________________________</w:t>
      </w:r>
      <w:r>
        <w:rPr>
          <w:rFonts w:ascii="Times New Roman" w:hAnsi="Times New Roman" w:cs="Times New Roman"/>
          <w:b/>
          <w:color w:val="002060"/>
        </w:rPr>
        <w:t>________________________9</w:t>
      </w:r>
    </w:p>
    <w:p w14:paraId="7AA5928E" w14:textId="77777777" w:rsidR="00CF197E" w:rsidRPr="00EF1948" w:rsidRDefault="00CF197E" w:rsidP="00EF1948">
      <w:pPr>
        <w:jc w:val="right"/>
        <w:rPr>
          <w:rFonts w:ascii="Times New Roman" w:hAnsi="Times New Roman" w:cs="Times New Roman"/>
          <w:b/>
          <w:color w:val="002060"/>
        </w:rPr>
      </w:pPr>
    </w:p>
    <w:sectPr w:rsidR="00CF197E" w:rsidRPr="00EF1948" w:rsidSect="008C23A6">
      <w:pgSz w:w="11906" w:h="16838"/>
      <w:pgMar w:top="238" w:right="68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934"/>
    <w:multiLevelType w:val="hybridMultilevel"/>
    <w:tmpl w:val="3A52E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94835"/>
    <w:multiLevelType w:val="hybridMultilevel"/>
    <w:tmpl w:val="DB6EB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10B37"/>
    <w:multiLevelType w:val="hybridMultilevel"/>
    <w:tmpl w:val="EC426992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0D9B2D7E"/>
    <w:multiLevelType w:val="multilevel"/>
    <w:tmpl w:val="CDAC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E76D02"/>
    <w:multiLevelType w:val="hybridMultilevel"/>
    <w:tmpl w:val="4E2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6B48"/>
    <w:multiLevelType w:val="hybridMultilevel"/>
    <w:tmpl w:val="C8E0E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519C4"/>
    <w:multiLevelType w:val="hybridMultilevel"/>
    <w:tmpl w:val="4C68C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006C91"/>
    <w:multiLevelType w:val="hybridMultilevel"/>
    <w:tmpl w:val="9FB43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43D23"/>
    <w:multiLevelType w:val="hybridMultilevel"/>
    <w:tmpl w:val="579C7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756B5"/>
    <w:multiLevelType w:val="hybridMultilevel"/>
    <w:tmpl w:val="92CA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F684E"/>
    <w:multiLevelType w:val="hybridMultilevel"/>
    <w:tmpl w:val="922C2D0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3B12953"/>
    <w:multiLevelType w:val="hybridMultilevel"/>
    <w:tmpl w:val="041C164C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>
    <w:nsid w:val="475F45F6"/>
    <w:multiLevelType w:val="hybridMultilevel"/>
    <w:tmpl w:val="74EE3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92D4B"/>
    <w:multiLevelType w:val="multilevel"/>
    <w:tmpl w:val="74822A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812603"/>
    <w:multiLevelType w:val="multilevel"/>
    <w:tmpl w:val="CDAC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956555"/>
    <w:multiLevelType w:val="hybridMultilevel"/>
    <w:tmpl w:val="4EAA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21B3E"/>
    <w:multiLevelType w:val="hybridMultilevel"/>
    <w:tmpl w:val="92CA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57BB1"/>
    <w:multiLevelType w:val="hybridMultilevel"/>
    <w:tmpl w:val="83A2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F27"/>
    <w:multiLevelType w:val="hybridMultilevel"/>
    <w:tmpl w:val="961E78E6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5E356B80"/>
    <w:multiLevelType w:val="hybridMultilevel"/>
    <w:tmpl w:val="92CA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C6E55"/>
    <w:multiLevelType w:val="hybridMultilevel"/>
    <w:tmpl w:val="12F6DB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B70EDA"/>
    <w:multiLevelType w:val="hybridMultilevel"/>
    <w:tmpl w:val="E7CC3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522886"/>
    <w:multiLevelType w:val="hybridMultilevel"/>
    <w:tmpl w:val="92CA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D1C2C"/>
    <w:multiLevelType w:val="multilevel"/>
    <w:tmpl w:val="CDAC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FF0818"/>
    <w:multiLevelType w:val="hybridMultilevel"/>
    <w:tmpl w:val="86A62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76907"/>
    <w:multiLevelType w:val="hybridMultilevel"/>
    <w:tmpl w:val="DBFA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86AB3"/>
    <w:multiLevelType w:val="hybridMultilevel"/>
    <w:tmpl w:val="406A988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7A351D4C"/>
    <w:multiLevelType w:val="hybridMultilevel"/>
    <w:tmpl w:val="53A41AE8"/>
    <w:lvl w:ilvl="0" w:tplc="041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8">
    <w:nsid w:val="7B1525A9"/>
    <w:multiLevelType w:val="hybridMultilevel"/>
    <w:tmpl w:val="0BD661E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7"/>
  </w:num>
  <w:num w:numId="5">
    <w:abstractNumId w:val="18"/>
  </w:num>
  <w:num w:numId="6">
    <w:abstractNumId w:val="2"/>
  </w:num>
  <w:num w:numId="7">
    <w:abstractNumId w:val="28"/>
  </w:num>
  <w:num w:numId="8">
    <w:abstractNumId w:val="11"/>
  </w:num>
  <w:num w:numId="9">
    <w:abstractNumId w:val="25"/>
  </w:num>
  <w:num w:numId="10">
    <w:abstractNumId w:val="15"/>
  </w:num>
  <w:num w:numId="11">
    <w:abstractNumId w:val="26"/>
  </w:num>
  <w:num w:numId="12">
    <w:abstractNumId w:val="5"/>
  </w:num>
  <w:num w:numId="13">
    <w:abstractNumId w:val="13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21"/>
  </w:num>
  <w:num w:numId="19">
    <w:abstractNumId w:val="8"/>
  </w:num>
  <w:num w:numId="20">
    <w:abstractNumId w:val="7"/>
  </w:num>
  <w:num w:numId="21">
    <w:abstractNumId w:val="1"/>
  </w:num>
  <w:num w:numId="22">
    <w:abstractNumId w:val="23"/>
  </w:num>
  <w:num w:numId="23">
    <w:abstractNumId w:val="19"/>
  </w:num>
  <w:num w:numId="24">
    <w:abstractNumId w:val="12"/>
  </w:num>
  <w:num w:numId="25">
    <w:abstractNumId w:val="0"/>
  </w:num>
  <w:num w:numId="26">
    <w:abstractNumId w:val="6"/>
  </w:num>
  <w:num w:numId="27">
    <w:abstractNumId w:val="9"/>
  </w:num>
  <w:num w:numId="28">
    <w:abstractNumId w:val="16"/>
  </w:num>
  <w:num w:numId="2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1"/>
    <w:rsid w:val="00003AD0"/>
    <w:rsid w:val="00003F01"/>
    <w:rsid w:val="00012886"/>
    <w:rsid w:val="000144E5"/>
    <w:rsid w:val="00026BA5"/>
    <w:rsid w:val="00045167"/>
    <w:rsid w:val="0008244B"/>
    <w:rsid w:val="00087A6B"/>
    <w:rsid w:val="000A7996"/>
    <w:rsid w:val="000B3CF9"/>
    <w:rsid w:val="000D5055"/>
    <w:rsid w:val="000F369D"/>
    <w:rsid w:val="00113CCB"/>
    <w:rsid w:val="00124CB5"/>
    <w:rsid w:val="00164874"/>
    <w:rsid w:val="001660BA"/>
    <w:rsid w:val="001925F6"/>
    <w:rsid w:val="001B6282"/>
    <w:rsid w:val="001B6DF0"/>
    <w:rsid w:val="001F17CA"/>
    <w:rsid w:val="00236E56"/>
    <w:rsid w:val="00247C15"/>
    <w:rsid w:val="00251251"/>
    <w:rsid w:val="00271EB3"/>
    <w:rsid w:val="00277757"/>
    <w:rsid w:val="0028492A"/>
    <w:rsid w:val="002A167C"/>
    <w:rsid w:val="002A2F90"/>
    <w:rsid w:val="002B5B1B"/>
    <w:rsid w:val="002E6032"/>
    <w:rsid w:val="002F1C92"/>
    <w:rsid w:val="003109ED"/>
    <w:rsid w:val="003153D9"/>
    <w:rsid w:val="00322F88"/>
    <w:rsid w:val="00323AFF"/>
    <w:rsid w:val="0033456E"/>
    <w:rsid w:val="003445D1"/>
    <w:rsid w:val="003565F1"/>
    <w:rsid w:val="00374C21"/>
    <w:rsid w:val="003868E1"/>
    <w:rsid w:val="003A5FF0"/>
    <w:rsid w:val="003C6CFA"/>
    <w:rsid w:val="003E1842"/>
    <w:rsid w:val="003E57C0"/>
    <w:rsid w:val="0042027E"/>
    <w:rsid w:val="00420C21"/>
    <w:rsid w:val="0042604A"/>
    <w:rsid w:val="00426AAE"/>
    <w:rsid w:val="00426C89"/>
    <w:rsid w:val="00490832"/>
    <w:rsid w:val="004A5397"/>
    <w:rsid w:val="004B4047"/>
    <w:rsid w:val="004B4A5A"/>
    <w:rsid w:val="00501835"/>
    <w:rsid w:val="00517AD8"/>
    <w:rsid w:val="005351C9"/>
    <w:rsid w:val="0054730D"/>
    <w:rsid w:val="00566CD5"/>
    <w:rsid w:val="0057502E"/>
    <w:rsid w:val="005A389E"/>
    <w:rsid w:val="005A608A"/>
    <w:rsid w:val="005B0992"/>
    <w:rsid w:val="005B2826"/>
    <w:rsid w:val="005C6380"/>
    <w:rsid w:val="005E3016"/>
    <w:rsid w:val="005E56F6"/>
    <w:rsid w:val="0061785F"/>
    <w:rsid w:val="00641176"/>
    <w:rsid w:val="00647279"/>
    <w:rsid w:val="00655AEB"/>
    <w:rsid w:val="00656151"/>
    <w:rsid w:val="00671163"/>
    <w:rsid w:val="0068773D"/>
    <w:rsid w:val="00694F64"/>
    <w:rsid w:val="006B1A35"/>
    <w:rsid w:val="006D17FC"/>
    <w:rsid w:val="00702914"/>
    <w:rsid w:val="00706C21"/>
    <w:rsid w:val="00736B55"/>
    <w:rsid w:val="00762251"/>
    <w:rsid w:val="007726DF"/>
    <w:rsid w:val="007746EE"/>
    <w:rsid w:val="00784018"/>
    <w:rsid w:val="007845C3"/>
    <w:rsid w:val="007A0426"/>
    <w:rsid w:val="007D1919"/>
    <w:rsid w:val="007D4AD3"/>
    <w:rsid w:val="007E4365"/>
    <w:rsid w:val="007E6724"/>
    <w:rsid w:val="008002B7"/>
    <w:rsid w:val="00812386"/>
    <w:rsid w:val="008132DA"/>
    <w:rsid w:val="00813F87"/>
    <w:rsid w:val="008229C6"/>
    <w:rsid w:val="00822CD0"/>
    <w:rsid w:val="008243A2"/>
    <w:rsid w:val="00857D3B"/>
    <w:rsid w:val="00865CBE"/>
    <w:rsid w:val="00874C1C"/>
    <w:rsid w:val="00884C41"/>
    <w:rsid w:val="008A483C"/>
    <w:rsid w:val="008C23A6"/>
    <w:rsid w:val="008E0C7F"/>
    <w:rsid w:val="008E3EE0"/>
    <w:rsid w:val="008E58FD"/>
    <w:rsid w:val="00904FCA"/>
    <w:rsid w:val="009309E9"/>
    <w:rsid w:val="00940F3C"/>
    <w:rsid w:val="00961575"/>
    <w:rsid w:val="00972716"/>
    <w:rsid w:val="0098573C"/>
    <w:rsid w:val="00995123"/>
    <w:rsid w:val="009A3F73"/>
    <w:rsid w:val="009C305F"/>
    <w:rsid w:val="009C7C21"/>
    <w:rsid w:val="009F341A"/>
    <w:rsid w:val="00A201E3"/>
    <w:rsid w:val="00A40E7D"/>
    <w:rsid w:val="00A525BB"/>
    <w:rsid w:val="00A606D5"/>
    <w:rsid w:val="00A62AA6"/>
    <w:rsid w:val="00A65A84"/>
    <w:rsid w:val="00A702E7"/>
    <w:rsid w:val="00A8030D"/>
    <w:rsid w:val="00A901BE"/>
    <w:rsid w:val="00AA09B5"/>
    <w:rsid w:val="00AB56CA"/>
    <w:rsid w:val="00AF2BCF"/>
    <w:rsid w:val="00B06AB9"/>
    <w:rsid w:val="00B10110"/>
    <w:rsid w:val="00B30929"/>
    <w:rsid w:val="00B368DB"/>
    <w:rsid w:val="00B40E67"/>
    <w:rsid w:val="00B421C1"/>
    <w:rsid w:val="00B439A0"/>
    <w:rsid w:val="00B63CC9"/>
    <w:rsid w:val="00B91A12"/>
    <w:rsid w:val="00BA1817"/>
    <w:rsid w:val="00BB44FF"/>
    <w:rsid w:val="00BC7FB9"/>
    <w:rsid w:val="00BD01DC"/>
    <w:rsid w:val="00BE58E5"/>
    <w:rsid w:val="00C050CA"/>
    <w:rsid w:val="00C1565A"/>
    <w:rsid w:val="00C15F18"/>
    <w:rsid w:val="00C16736"/>
    <w:rsid w:val="00C260B3"/>
    <w:rsid w:val="00C84E15"/>
    <w:rsid w:val="00CA7E45"/>
    <w:rsid w:val="00CC6E41"/>
    <w:rsid w:val="00CF123A"/>
    <w:rsid w:val="00CF197E"/>
    <w:rsid w:val="00CF5CAF"/>
    <w:rsid w:val="00D001D2"/>
    <w:rsid w:val="00D70296"/>
    <w:rsid w:val="00D95E79"/>
    <w:rsid w:val="00DA626A"/>
    <w:rsid w:val="00DA6671"/>
    <w:rsid w:val="00DA7ADD"/>
    <w:rsid w:val="00DC0BB3"/>
    <w:rsid w:val="00DC5A5F"/>
    <w:rsid w:val="00DE4EF7"/>
    <w:rsid w:val="00E058EA"/>
    <w:rsid w:val="00E21150"/>
    <w:rsid w:val="00E5731E"/>
    <w:rsid w:val="00E82BF1"/>
    <w:rsid w:val="00E85299"/>
    <w:rsid w:val="00E87781"/>
    <w:rsid w:val="00EF1948"/>
    <w:rsid w:val="00EF7164"/>
    <w:rsid w:val="00F12B10"/>
    <w:rsid w:val="00F225E0"/>
    <w:rsid w:val="00F33F74"/>
    <w:rsid w:val="00F51DBE"/>
    <w:rsid w:val="00F733C8"/>
    <w:rsid w:val="00F75935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6"/>
    <w:pPr>
      <w:ind w:left="720"/>
      <w:contextualSpacing/>
    </w:pPr>
  </w:style>
  <w:style w:type="table" w:styleId="a4">
    <w:name w:val="Table Grid"/>
    <w:basedOn w:val="a1"/>
    <w:uiPriority w:val="59"/>
    <w:rsid w:val="002B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6"/>
    <w:pPr>
      <w:ind w:left="720"/>
      <w:contextualSpacing/>
    </w:pPr>
  </w:style>
  <w:style w:type="table" w:styleId="a4">
    <w:name w:val="Table Grid"/>
    <w:basedOn w:val="a1"/>
    <w:uiPriority w:val="59"/>
    <w:rsid w:val="002B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449D-D3E7-47C6-B1EF-616E1C77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2</cp:revision>
  <cp:lastPrinted>2023-08-07T10:55:00Z</cp:lastPrinted>
  <dcterms:created xsi:type="dcterms:W3CDTF">2023-08-07T10:56:00Z</dcterms:created>
  <dcterms:modified xsi:type="dcterms:W3CDTF">2023-08-07T10:56:00Z</dcterms:modified>
</cp:coreProperties>
</file>